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1B3D9" w14:textId="77777777" w:rsidR="004E69EC" w:rsidRDefault="004E69EC" w:rsidP="000131EB">
      <w:pPr>
        <w:spacing w:after="0" w:line="276" w:lineRule="auto"/>
        <w:rPr>
          <w:rFonts w:ascii="Avenir Next LT Pro Light" w:hAnsi="Avenir Next LT Pro Light"/>
          <w:b/>
          <w:bCs/>
          <w:noProof/>
          <w:sz w:val="40"/>
          <w:szCs w:val="44"/>
        </w:rPr>
      </w:pPr>
      <w:bookmarkStart w:id="0" w:name="_Hlk51592045"/>
      <w:r w:rsidRPr="00A83964">
        <w:rPr>
          <w:rFonts w:ascii="Avenir Next LT Pro Light" w:hAnsi="Avenir Next LT Pro Light"/>
          <w:b/>
          <w:bCs/>
          <w:noProof/>
          <w:sz w:val="40"/>
          <w:szCs w:val="44"/>
          <w:lang w:eastAsia="nl-NL"/>
        </w:rPr>
        <w:drawing>
          <wp:anchor distT="0" distB="0" distL="114300" distR="114300" simplePos="0" relativeHeight="251664384" behindDoc="0" locked="0" layoutInCell="1" allowOverlap="1" wp14:anchorId="0D05F862" wp14:editId="39169202">
            <wp:simplePos x="0" y="0"/>
            <wp:positionH relativeFrom="column">
              <wp:posOffset>3654422</wp:posOffset>
            </wp:positionH>
            <wp:positionV relativeFrom="paragraph">
              <wp:posOffset>178435</wp:posOffset>
            </wp:positionV>
            <wp:extent cx="2183401" cy="533400"/>
            <wp:effectExtent l="0" t="0" r="762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8636" cy="53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D3B7C" w14:textId="77777777" w:rsidR="004E69EC" w:rsidRDefault="004E69EC" w:rsidP="000131EB">
      <w:pPr>
        <w:spacing w:after="0" w:line="276" w:lineRule="auto"/>
        <w:rPr>
          <w:rFonts w:ascii="Avenir Next LT Pro Light" w:hAnsi="Avenir Next LT Pro Light"/>
          <w:b/>
          <w:bCs/>
          <w:noProof/>
          <w:sz w:val="40"/>
          <w:szCs w:val="44"/>
        </w:rPr>
      </w:pPr>
    </w:p>
    <w:p w14:paraId="13F04495" w14:textId="332D42E9" w:rsidR="00906544" w:rsidRDefault="0068677F" w:rsidP="000131EB">
      <w:pPr>
        <w:spacing w:after="0" w:line="276" w:lineRule="auto"/>
        <w:rPr>
          <w:rFonts w:ascii="Avenir Next LT Pro Light" w:hAnsi="Avenir Next LT Pro Light"/>
          <w:i/>
          <w:iCs/>
        </w:rPr>
      </w:pPr>
      <w:r>
        <w:rPr>
          <w:rFonts w:ascii="Avenir Next LT Pro Light" w:hAnsi="Avenir Next LT Pro Light"/>
          <w:i/>
          <w:iCs/>
          <w:noProof/>
        </w:rPr>
        <w:drawing>
          <wp:inline distT="0" distB="0" distL="0" distR="0" wp14:anchorId="6A6CC60D" wp14:editId="52FBD884">
            <wp:extent cx="2646484" cy="264648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art_NH_F_U_websiteMRAE_750x750p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0860" cy="2650860"/>
                    </a:xfrm>
                    <a:prstGeom prst="rect">
                      <a:avLst/>
                    </a:prstGeom>
                  </pic:spPr>
                </pic:pic>
              </a:graphicData>
            </a:graphic>
          </wp:inline>
        </w:drawing>
      </w:r>
      <w:r w:rsidR="00752876">
        <w:rPr>
          <w:rFonts w:ascii="Avenir Next LT Pro Light" w:hAnsi="Avenir Next LT Pro Light"/>
          <w:i/>
          <w:iCs/>
        </w:rPr>
        <w:t xml:space="preserve"> </w:t>
      </w:r>
    </w:p>
    <w:p w14:paraId="375BB9B9" w14:textId="77777777" w:rsidR="001C4CA9" w:rsidRDefault="001C4CA9" w:rsidP="000131EB">
      <w:pPr>
        <w:spacing w:after="0" w:line="276" w:lineRule="auto"/>
        <w:rPr>
          <w:rFonts w:ascii="Avenir Next LT Pro Light" w:hAnsi="Avenir Next LT Pro Light"/>
          <w:i/>
          <w:iCs/>
        </w:rPr>
      </w:pPr>
    </w:p>
    <w:p w14:paraId="54F0C7AC" w14:textId="0C5CA8DA" w:rsidR="001C4CA9" w:rsidRDefault="001C4CA9" w:rsidP="000131EB">
      <w:pPr>
        <w:spacing w:after="0" w:line="276" w:lineRule="auto"/>
        <w:rPr>
          <w:rFonts w:ascii="Avenir Next LT Pro Light" w:hAnsi="Avenir Next LT Pro Light"/>
          <w:i/>
          <w:iCs/>
        </w:rPr>
      </w:pPr>
    </w:p>
    <w:p w14:paraId="59C66F49" w14:textId="77777777" w:rsidR="00906544" w:rsidRDefault="00906544" w:rsidP="000131EB">
      <w:pPr>
        <w:spacing w:after="0" w:line="276" w:lineRule="auto"/>
        <w:rPr>
          <w:rFonts w:ascii="Avenir Next LT Pro Light" w:hAnsi="Avenir Next LT Pro Light"/>
          <w:i/>
          <w:iCs/>
        </w:rPr>
      </w:pPr>
    </w:p>
    <w:p w14:paraId="3428E6AE" w14:textId="77777777" w:rsidR="001C4CA9" w:rsidRDefault="004E69EC" w:rsidP="000131EB">
      <w:pPr>
        <w:spacing w:after="0" w:line="276" w:lineRule="auto"/>
        <w:rPr>
          <w:rFonts w:ascii="Avenir Next LT Pro Light" w:hAnsi="Avenir Next LT Pro Light"/>
          <w:i/>
          <w:iCs/>
        </w:rPr>
      </w:pPr>
      <w:r>
        <w:rPr>
          <w:rFonts w:ascii="Avenir Next LT Pro" w:hAnsi="Avenir Next LT Pro"/>
          <w:noProof/>
          <w:lang w:eastAsia="nl-NL"/>
        </w:rPr>
        <w:drawing>
          <wp:inline distT="0" distB="0" distL="0" distR="0" wp14:anchorId="56792109" wp14:editId="7FF544EF">
            <wp:extent cx="5400675" cy="2969597"/>
            <wp:effectExtent l="0" t="0" r="0" b="2540"/>
            <wp:docPr id="12" name="Afbeelding 12" descr="C:\Users\pmb\Downloads\MRAE evenement CS Amsterdam 20 januari 2020 fotograaf Marloes van Doorn (42-2 van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b\Downloads\MRAE evenement CS Amsterdam 20 januari 2020 fotograaf Marloes van Doorn (42-2 van 1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2969597"/>
                    </a:xfrm>
                    <a:prstGeom prst="rect">
                      <a:avLst/>
                    </a:prstGeom>
                    <a:noFill/>
                    <a:ln>
                      <a:noFill/>
                    </a:ln>
                  </pic:spPr>
                </pic:pic>
              </a:graphicData>
            </a:graphic>
          </wp:inline>
        </w:drawing>
      </w:r>
    </w:p>
    <w:p w14:paraId="202668D8" w14:textId="77777777" w:rsidR="001C4CA9" w:rsidRDefault="001C4CA9" w:rsidP="000131EB">
      <w:pPr>
        <w:spacing w:after="0" w:line="276" w:lineRule="auto"/>
        <w:rPr>
          <w:rFonts w:ascii="Avenir Next LT Pro Light" w:hAnsi="Avenir Next LT Pro Light"/>
          <w:i/>
          <w:iCs/>
        </w:rPr>
      </w:pPr>
    </w:p>
    <w:p w14:paraId="7C90F2D1" w14:textId="77777777" w:rsidR="001C4CA9" w:rsidRDefault="001C4CA9" w:rsidP="000131EB">
      <w:pPr>
        <w:spacing w:after="0" w:line="276" w:lineRule="auto"/>
        <w:rPr>
          <w:rFonts w:ascii="Avenir Next LT Pro Light" w:hAnsi="Avenir Next LT Pro Light"/>
          <w:i/>
          <w:iCs/>
        </w:rPr>
      </w:pPr>
    </w:p>
    <w:p w14:paraId="5FC03FA6" w14:textId="77777777" w:rsidR="001C4CA9" w:rsidRDefault="001C4CA9" w:rsidP="000131EB">
      <w:pPr>
        <w:spacing w:after="0" w:line="276" w:lineRule="auto"/>
        <w:rPr>
          <w:rFonts w:ascii="Avenir Next LT Pro Light" w:hAnsi="Avenir Next LT Pro Light"/>
          <w:i/>
          <w:iCs/>
        </w:rPr>
      </w:pPr>
    </w:p>
    <w:p w14:paraId="6D56A9BB" w14:textId="22AE129A" w:rsidR="00766427" w:rsidRDefault="00766427" w:rsidP="000131EB">
      <w:pPr>
        <w:spacing w:after="0" w:line="276" w:lineRule="auto"/>
        <w:rPr>
          <w:rFonts w:ascii="Avenir Next LT Pro Light" w:hAnsi="Avenir Next LT Pro Light"/>
          <w:i/>
          <w:iCs/>
        </w:rPr>
      </w:pPr>
    </w:p>
    <w:p w14:paraId="0B0C5ED6" w14:textId="77777777" w:rsidR="0068677F" w:rsidRDefault="0068677F" w:rsidP="000131EB">
      <w:pPr>
        <w:spacing w:after="0" w:line="276" w:lineRule="auto"/>
        <w:rPr>
          <w:rFonts w:ascii="Avenir Next LT Pro Light" w:hAnsi="Avenir Next LT Pro Light"/>
          <w:i/>
          <w:iCs/>
        </w:rPr>
      </w:pPr>
    </w:p>
    <w:p w14:paraId="30BA5063" w14:textId="4003557D" w:rsidR="004E69EC" w:rsidRDefault="004E69EC" w:rsidP="000131EB">
      <w:pPr>
        <w:spacing w:after="0" w:line="276" w:lineRule="auto"/>
        <w:rPr>
          <w:rFonts w:ascii="Avenir Next LT Pro Light" w:hAnsi="Avenir Next LT Pro Light"/>
          <w:i/>
          <w:iCs/>
        </w:rPr>
      </w:pPr>
      <w:r w:rsidRPr="00A83964">
        <w:rPr>
          <w:rFonts w:ascii="Avenir Next LT Pro Light" w:hAnsi="Avenir Next LT Pro Light"/>
          <w:b/>
          <w:bCs/>
          <w:noProof/>
          <w:sz w:val="40"/>
          <w:szCs w:val="44"/>
        </w:rPr>
        <w:lastRenderedPageBreak/>
        <w:t>Regionale visie laadinfrastructuur</w:t>
      </w:r>
      <w:r w:rsidRPr="00A83964">
        <w:rPr>
          <w:rFonts w:ascii="Avenir Next LT Pro Light" w:hAnsi="Avenir Next LT Pro Light"/>
          <w:b/>
          <w:bCs/>
          <w:sz w:val="40"/>
          <w:szCs w:val="44"/>
        </w:rPr>
        <w:t xml:space="preserve"> </w:t>
      </w:r>
      <w:r w:rsidRPr="00A83964">
        <w:rPr>
          <w:rFonts w:ascii="Avenir Next LT Pro Light" w:hAnsi="Avenir Next LT Pro Light"/>
          <w:b/>
          <w:bCs/>
          <w:sz w:val="40"/>
          <w:szCs w:val="44"/>
        </w:rPr>
        <w:br/>
      </w:r>
      <w:r w:rsidRPr="00A83964">
        <w:rPr>
          <w:rFonts w:ascii="Avenir Next LT Pro Light" w:hAnsi="Avenir Next LT Pro Light"/>
          <w:i/>
          <w:iCs/>
        </w:rPr>
        <w:t xml:space="preserve">MRA-Elektrisch, </w:t>
      </w:r>
      <w:r w:rsidR="00677C1D">
        <w:rPr>
          <w:rFonts w:ascii="Avenir Next LT Pro Light" w:hAnsi="Avenir Next LT Pro Light"/>
          <w:i/>
          <w:iCs/>
        </w:rPr>
        <w:t xml:space="preserve">voor de gemeenten in de </w:t>
      </w:r>
      <w:r>
        <w:rPr>
          <w:rFonts w:ascii="Avenir Next LT Pro Light" w:hAnsi="Avenir Next LT Pro Light"/>
          <w:i/>
          <w:iCs/>
        </w:rPr>
        <w:t xml:space="preserve">Regio Noordwest </w:t>
      </w:r>
    </w:p>
    <w:p w14:paraId="76AABDB4" w14:textId="77777777" w:rsidR="004E69EC" w:rsidRDefault="004E69EC" w:rsidP="000131EB">
      <w:pPr>
        <w:spacing w:after="0" w:line="276" w:lineRule="auto"/>
        <w:rPr>
          <w:rFonts w:ascii="Avenir Next LT Pro Light" w:hAnsi="Avenir Next LT Pro Light"/>
          <w:i/>
          <w:iCs/>
        </w:rPr>
      </w:pPr>
    </w:p>
    <w:sdt>
      <w:sdtPr>
        <w:rPr>
          <w:rFonts w:ascii="Avenir Next LT Pro Light" w:eastAsiaTheme="minorHAnsi" w:hAnsi="Avenir Next LT Pro Light" w:cstheme="minorBidi"/>
          <w:color w:val="auto"/>
          <w:sz w:val="20"/>
          <w:szCs w:val="22"/>
          <w:lang w:eastAsia="en-US"/>
        </w:rPr>
        <w:id w:val="-1061857756"/>
        <w:docPartObj>
          <w:docPartGallery w:val="Table of Contents"/>
          <w:docPartUnique/>
        </w:docPartObj>
      </w:sdtPr>
      <w:sdtEndPr/>
      <w:sdtContent>
        <w:p w14:paraId="65B81DD0" w14:textId="77777777" w:rsidR="006C1F69" w:rsidRPr="00906544" w:rsidRDefault="006C1F69" w:rsidP="000131EB">
          <w:pPr>
            <w:pStyle w:val="Kopvaninhoudsopgave"/>
            <w:spacing w:before="0" w:line="276" w:lineRule="auto"/>
            <w:rPr>
              <w:rFonts w:ascii="Avenir Next LT Pro Light" w:hAnsi="Avenir Next LT Pro Light"/>
              <w:color w:val="auto"/>
            </w:rPr>
          </w:pPr>
          <w:r w:rsidRPr="00906544">
            <w:rPr>
              <w:rFonts w:ascii="Avenir Next LT Pro Light" w:hAnsi="Avenir Next LT Pro Light"/>
              <w:color w:val="auto"/>
            </w:rPr>
            <w:t>Inhoud</w:t>
          </w:r>
        </w:p>
        <w:p w14:paraId="78D72581" w14:textId="6087FF0D" w:rsidR="00C91A22" w:rsidRDefault="006C1F69" w:rsidP="000131EB">
          <w:pPr>
            <w:pStyle w:val="Inhopg1"/>
            <w:tabs>
              <w:tab w:val="left" w:pos="440"/>
              <w:tab w:val="right" w:leader="dot" w:pos="8495"/>
            </w:tabs>
            <w:spacing w:line="276" w:lineRule="auto"/>
            <w:rPr>
              <w:rFonts w:asciiTheme="minorHAnsi" w:eastAsiaTheme="minorEastAsia" w:hAnsiTheme="minorHAnsi"/>
              <w:noProof/>
              <w:sz w:val="22"/>
              <w:lang w:eastAsia="nl-NL"/>
            </w:rPr>
          </w:pPr>
          <w:r w:rsidRPr="00906544">
            <w:rPr>
              <w:rFonts w:ascii="Avenir Next LT Pro Light" w:hAnsi="Avenir Next LT Pro Light"/>
            </w:rPr>
            <w:fldChar w:fldCharType="begin"/>
          </w:r>
          <w:r w:rsidRPr="00906544">
            <w:rPr>
              <w:rFonts w:ascii="Avenir Next LT Pro Light" w:hAnsi="Avenir Next LT Pro Light"/>
            </w:rPr>
            <w:instrText xml:space="preserve"> TOC \o "1-3" \h \z \u </w:instrText>
          </w:r>
          <w:r w:rsidRPr="00906544">
            <w:rPr>
              <w:rFonts w:ascii="Avenir Next LT Pro Light" w:hAnsi="Avenir Next LT Pro Light"/>
            </w:rPr>
            <w:fldChar w:fldCharType="separate"/>
          </w:r>
          <w:hyperlink w:anchor="_Toc71287688" w:history="1">
            <w:r w:rsidR="00C91A22" w:rsidRPr="00767805">
              <w:rPr>
                <w:rStyle w:val="Hyperlink"/>
                <w:noProof/>
              </w:rPr>
              <w:t>1.</w:t>
            </w:r>
            <w:r w:rsidR="00C91A22">
              <w:rPr>
                <w:rFonts w:asciiTheme="minorHAnsi" w:eastAsiaTheme="minorEastAsia" w:hAnsiTheme="minorHAnsi"/>
                <w:noProof/>
                <w:sz w:val="22"/>
                <w:lang w:eastAsia="nl-NL"/>
              </w:rPr>
              <w:tab/>
            </w:r>
            <w:r w:rsidR="00C91A22" w:rsidRPr="00767805">
              <w:rPr>
                <w:rStyle w:val="Hyperlink"/>
                <w:noProof/>
              </w:rPr>
              <w:t>Inleidin</w:t>
            </w:r>
            <w:r w:rsidR="00C91A22" w:rsidRPr="00767805">
              <w:rPr>
                <w:rStyle w:val="Hyperlink"/>
                <w:noProof/>
              </w:rPr>
              <w:t>g</w:t>
            </w:r>
            <w:r w:rsidR="00C91A22">
              <w:rPr>
                <w:noProof/>
                <w:webHidden/>
              </w:rPr>
              <w:tab/>
            </w:r>
            <w:r w:rsidR="00C91A22">
              <w:rPr>
                <w:noProof/>
                <w:webHidden/>
              </w:rPr>
              <w:fldChar w:fldCharType="begin"/>
            </w:r>
            <w:r w:rsidR="00C91A22">
              <w:rPr>
                <w:noProof/>
                <w:webHidden/>
              </w:rPr>
              <w:instrText xml:space="preserve"> PAGEREF _Toc71287688 \h </w:instrText>
            </w:r>
            <w:r w:rsidR="00C91A22">
              <w:rPr>
                <w:noProof/>
                <w:webHidden/>
              </w:rPr>
            </w:r>
            <w:r w:rsidR="00C91A22">
              <w:rPr>
                <w:noProof/>
                <w:webHidden/>
              </w:rPr>
              <w:fldChar w:fldCharType="separate"/>
            </w:r>
            <w:r w:rsidR="00677C1D">
              <w:rPr>
                <w:noProof/>
                <w:webHidden/>
              </w:rPr>
              <w:t>3</w:t>
            </w:r>
            <w:r w:rsidR="00C91A22">
              <w:rPr>
                <w:noProof/>
                <w:webHidden/>
              </w:rPr>
              <w:fldChar w:fldCharType="end"/>
            </w:r>
          </w:hyperlink>
        </w:p>
        <w:p w14:paraId="70C6C3BD" w14:textId="6D6DB0C6" w:rsidR="00C91A22" w:rsidRDefault="000830FD" w:rsidP="000131EB">
          <w:pPr>
            <w:pStyle w:val="Inhopg2"/>
            <w:tabs>
              <w:tab w:val="left" w:pos="660"/>
              <w:tab w:val="right" w:leader="dot" w:pos="8495"/>
            </w:tabs>
            <w:spacing w:line="276" w:lineRule="auto"/>
            <w:rPr>
              <w:rFonts w:asciiTheme="minorHAnsi" w:eastAsiaTheme="minorEastAsia" w:hAnsiTheme="minorHAnsi"/>
              <w:noProof/>
              <w:sz w:val="22"/>
              <w:lang w:eastAsia="nl-NL"/>
            </w:rPr>
          </w:pPr>
          <w:hyperlink w:anchor="_Toc71287689" w:history="1">
            <w:r w:rsidR="00C91A22" w:rsidRPr="00767805">
              <w:rPr>
                <w:rStyle w:val="Hyperlink"/>
                <w:noProof/>
              </w:rPr>
              <w:t>1.1</w:t>
            </w:r>
            <w:r w:rsidR="00C91A22">
              <w:rPr>
                <w:rFonts w:asciiTheme="minorHAnsi" w:eastAsiaTheme="minorEastAsia" w:hAnsiTheme="minorHAnsi"/>
                <w:noProof/>
                <w:sz w:val="22"/>
                <w:lang w:eastAsia="nl-NL"/>
              </w:rPr>
              <w:tab/>
            </w:r>
            <w:r w:rsidR="00C91A22" w:rsidRPr="00767805">
              <w:rPr>
                <w:rStyle w:val="Hyperlink"/>
                <w:noProof/>
              </w:rPr>
              <w:t>Waarom een regionale visie laadinfrastructuur?</w:t>
            </w:r>
            <w:r w:rsidR="00C91A22">
              <w:rPr>
                <w:noProof/>
                <w:webHidden/>
              </w:rPr>
              <w:tab/>
            </w:r>
            <w:r w:rsidR="00C91A22">
              <w:rPr>
                <w:noProof/>
                <w:webHidden/>
              </w:rPr>
              <w:fldChar w:fldCharType="begin"/>
            </w:r>
            <w:r w:rsidR="00C91A22">
              <w:rPr>
                <w:noProof/>
                <w:webHidden/>
              </w:rPr>
              <w:instrText xml:space="preserve"> PAGEREF _Toc71287689 \h </w:instrText>
            </w:r>
            <w:r w:rsidR="00C91A22">
              <w:rPr>
                <w:noProof/>
                <w:webHidden/>
              </w:rPr>
            </w:r>
            <w:r w:rsidR="00C91A22">
              <w:rPr>
                <w:noProof/>
                <w:webHidden/>
              </w:rPr>
              <w:fldChar w:fldCharType="separate"/>
            </w:r>
            <w:r w:rsidR="00677C1D">
              <w:rPr>
                <w:noProof/>
                <w:webHidden/>
              </w:rPr>
              <w:t>3</w:t>
            </w:r>
            <w:r w:rsidR="00C91A22">
              <w:rPr>
                <w:noProof/>
                <w:webHidden/>
              </w:rPr>
              <w:fldChar w:fldCharType="end"/>
            </w:r>
          </w:hyperlink>
        </w:p>
        <w:p w14:paraId="14502FDC" w14:textId="01E51BA9" w:rsidR="00C91A22" w:rsidRDefault="000830FD" w:rsidP="000131EB">
          <w:pPr>
            <w:pStyle w:val="Inhopg2"/>
            <w:tabs>
              <w:tab w:val="left" w:pos="660"/>
              <w:tab w:val="right" w:leader="dot" w:pos="8495"/>
            </w:tabs>
            <w:spacing w:line="276" w:lineRule="auto"/>
            <w:rPr>
              <w:rFonts w:asciiTheme="minorHAnsi" w:eastAsiaTheme="minorEastAsia" w:hAnsiTheme="minorHAnsi"/>
              <w:noProof/>
              <w:sz w:val="22"/>
              <w:lang w:eastAsia="nl-NL"/>
            </w:rPr>
          </w:pPr>
          <w:hyperlink w:anchor="_Toc71287690" w:history="1">
            <w:r w:rsidR="00C91A22" w:rsidRPr="00767805">
              <w:rPr>
                <w:rStyle w:val="Hyperlink"/>
                <w:noProof/>
              </w:rPr>
              <w:t>1.2</w:t>
            </w:r>
            <w:r w:rsidR="00C91A22">
              <w:rPr>
                <w:rFonts w:asciiTheme="minorHAnsi" w:eastAsiaTheme="minorEastAsia" w:hAnsiTheme="minorHAnsi"/>
                <w:noProof/>
                <w:sz w:val="22"/>
                <w:lang w:eastAsia="nl-NL"/>
              </w:rPr>
              <w:tab/>
            </w:r>
            <w:r w:rsidR="00C91A22" w:rsidRPr="00767805">
              <w:rPr>
                <w:rStyle w:val="Hyperlink"/>
                <w:noProof/>
              </w:rPr>
              <w:t>Voor wie is deze visie bedoeld?</w:t>
            </w:r>
            <w:r w:rsidR="00C91A22">
              <w:rPr>
                <w:noProof/>
                <w:webHidden/>
              </w:rPr>
              <w:tab/>
            </w:r>
            <w:r w:rsidR="00C91A22">
              <w:rPr>
                <w:noProof/>
                <w:webHidden/>
              </w:rPr>
              <w:fldChar w:fldCharType="begin"/>
            </w:r>
            <w:r w:rsidR="00C91A22">
              <w:rPr>
                <w:noProof/>
                <w:webHidden/>
              </w:rPr>
              <w:instrText xml:space="preserve"> PAGEREF _Toc71287690 \h </w:instrText>
            </w:r>
            <w:r w:rsidR="00C91A22">
              <w:rPr>
                <w:noProof/>
                <w:webHidden/>
              </w:rPr>
            </w:r>
            <w:r w:rsidR="00C91A22">
              <w:rPr>
                <w:noProof/>
                <w:webHidden/>
              </w:rPr>
              <w:fldChar w:fldCharType="separate"/>
            </w:r>
            <w:r w:rsidR="00677C1D">
              <w:rPr>
                <w:noProof/>
                <w:webHidden/>
              </w:rPr>
              <w:t>4</w:t>
            </w:r>
            <w:r w:rsidR="00C91A22">
              <w:rPr>
                <w:noProof/>
                <w:webHidden/>
              </w:rPr>
              <w:fldChar w:fldCharType="end"/>
            </w:r>
          </w:hyperlink>
        </w:p>
        <w:p w14:paraId="6348CAAF" w14:textId="6520AD42" w:rsidR="00C91A22" w:rsidRDefault="000830FD" w:rsidP="000131EB">
          <w:pPr>
            <w:pStyle w:val="Inhopg2"/>
            <w:tabs>
              <w:tab w:val="left" w:pos="660"/>
              <w:tab w:val="right" w:leader="dot" w:pos="8495"/>
            </w:tabs>
            <w:spacing w:line="276" w:lineRule="auto"/>
            <w:rPr>
              <w:rFonts w:asciiTheme="minorHAnsi" w:eastAsiaTheme="minorEastAsia" w:hAnsiTheme="minorHAnsi"/>
              <w:noProof/>
              <w:sz w:val="22"/>
              <w:lang w:eastAsia="nl-NL"/>
            </w:rPr>
          </w:pPr>
          <w:hyperlink w:anchor="_Toc71287691" w:history="1">
            <w:r w:rsidR="00C91A22" w:rsidRPr="00767805">
              <w:rPr>
                <w:rStyle w:val="Hyperlink"/>
                <w:noProof/>
              </w:rPr>
              <w:t>1.3</w:t>
            </w:r>
            <w:r w:rsidR="00C91A22">
              <w:rPr>
                <w:rFonts w:asciiTheme="minorHAnsi" w:eastAsiaTheme="minorEastAsia" w:hAnsiTheme="minorHAnsi"/>
                <w:noProof/>
                <w:sz w:val="22"/>
                <w:lang w:eastAsia="nl-NL"/>
              </w:rPr>
              <w:tab/>
            </w:r>
            <w:r w:rsidR="00C91A22" w:rsidRPr="00767805">
              <w:rPr>
                <w:rStyle w:val="Hyperlink"/>
                <w:noProof/>
              </w:rPr>
              <w:t>Organisatie MRA-E</w:t>
            </w:r>
            <w:r w:rsidR="00C91A22">
              <w:rPr>
                <w:noProof/>
                <w:webHidden/>
              </w:rPr>
              <w:tab/>
            </w:r>
            <w:r w:rsidR="00C91A22">
              <w:rPr>
                <w:noProof/>
                <w:webHidden/>
              </w:rPr>
              <w:fldChar w:fldCharType="begin"/>
            </w:r>
            <w:r w:rsidR="00C91A22">
              <w:rPr>
                <w:noProof/>
                <w:webHidden/>
              </w:rPr>
              <w:instrText xml:space="preserve"> PAGEREF _Toc71287691 \h </w:instrText>
            </w:r>
            <w:r w:rsidR="00C91A22">
              <w:rPr>
                <w:noProof/>
                <w:webHidden/>
              </w:rPr>
            </w:r>
            <w:r w:rsidR="00C91A22">
              <w:rPr>
                <w:noProof/>
                <w:webHidden/>
              </w:rPr>
              <w:fldChar w:fldCharType="separate"/>
            </w:r>
            <w:r w:rsidR="00677C1D">
              <w:rPr>
                <w:noProof/>
                <w:webHidden/>
              </w:rPr>
              <w:t>4</w:t>
            </w:r>
            <w:r w:rsidR="00C91A22">
              <w:rPr>
                <w:noProof/>
                <w:webHidden/>
              </w:rPr>
              <w:fldChar w:fldCharType="end"/>
            </w:r>
          </w:hyperlink>
        </w:p>
        <w:p w14:paraId="7A948B84" w14:textId="714CE300" w:rsidR="00C91A22" w:rsidRDefault="000830FD" w:rsidP="000131EB">
          <w:pPr>
            <w:pStyle w:val="Inhopg2"/>
            <w:tabs>
              <w:tab w:val="left" w:pos="660"/>
              <w:tab w:val="right" w:leader="dot" w:pos="8495"/>
            </w:tabs>
            <w:spacing w:line="276" w:lineRule="auto"/>
            <w:rPr>
              <w:rFonts w:asciiTheme="minorHAnsi" w:eastAsiaTheme="minorEastAsia" w:hAnsiTheme="minorHAnsi"/>
              <w:noProof/>
              <w:sz w:val="22"/>
              <w:lang w:eastAsia="nl-NL"/>
            </w:rPr>
          </w:pPr>
          <w:hyperlink w:anchor="_Toc71287692" w:history="1">
            <w:r w:rsidR="00C91A22" w:rsidRPr="00767805">
              <w:rPr>
                <w:rStyle w:val="Hyperlink"/>
                <w:noProof/>
              </w:rPr>
              <w:t>1.4</w:t>
            </w:r>
            <w:r w:rsidR="00C91A22">
              <w:rPr>
                <w:rFonts w:asciiTheme="minorHAnsi" w:eastAsiaTheme="minorEastAsia" w:hAnsiTheme="minorHAnsi"/>
                <w:noProof/>
                <w:sz w:val="22"/>
                <w:lang w:eastAsia="nl-NL"/>
              </w:rPr>
              <w:tab/>
            </w:r>
            <w:r w:rsidR="00C91A22" w:rsidRPr="00767805">
              <w:rPr>
                <w:rStyle w:val="Hyperlink"/>
                <w:noProof/>
              </w:rPr>
              <w:t>Leeswijzer</w:t>
            </w:r>
            <w:r w:rsidR="00C91A22">
              <w:rPr>
                <w:noProof/>
                <w:webHidden/>
              </w:rPr>
              <w:tab/>
            </w:r>
            <w:r w:rsidR="00C91A22">
              <w:rPr>
                <w:noProof/>
                <w:webHidden/>
              </w:rPr>
              <w:fldChar w:fldCharType="begin"/>
            </w:r>
            <w:r w:rsidR="00C91A22">
              <w:rPr>
                <w:noProof/>
                <w:webHidden/>
              </w:rPr>
              <w:instrText xml:space="preserve"> PAGEREF _Toc71287692 \h </w:instrText>
            </w:r>
            <w:r w:rsidR="00C91A22">
              <w:rPr>
                <w:noProof/>
                <w:webHidden/>
              </w:rPr>
            </w:r>
            <w:r w:rsidR="00C91A22">
              <w:rPr>
                <w:noProof/>
                <w:webHidden/>
              </w:rPr>
              <w:fldChar w:fldCharType="separate"/>
            </w:r>
            <w:r w:rsidR="00677C1D">
              <w:rPr>
                <w:noProof/>
                <w:webHidden/>
              </w:rPr>
              <w:t>5</w:t>
            </w:r>
            <w:r w:rsidR="00C91A22">
              <w:rPr>
                <w:noProof/>
                <w:webHidden/>
              </w:rPr>
              <w:fldChar w:fldCharType="end"/>
            </w:r>
          </w:hyperlink>
        </w:p>
        <w:p w14:paraId="2FB92F08" w14:textId="72BD17E5" w:rsidR="00C91A22" w:rsidRDefault="000830FD" w:rsidP="000131EB">
          <w:pPr>
            <w:pStyle w:val="Inhopg1"/>
            <w:tabs>
              <w:tab w:val="left" w:pos="440"/>
              <w:tab w:val="right" w:leader="dot" w:pos="8495"/>
            </w:tabs>
            <w:spacing w:line="276" w:lineRule="auto"/>
            <w:rPr>
              <w:rFonts w:asciiTheme="minorHAnsi" w:eastAsiaTheme="minorEastAsia" w:hAnsiTheme="minorHAnsi"/>
              <w:noProof/>
              <w:sz w:val="22"/>
              <w:lang w:eastAsia="nl-NL"/>
            </w:rPr>
          </w:pPr>
          <w:hyperlink w:anchor="_Toc71287693" w:history="1">
            <w:r w:rsidR="00C91A22" w:rsidRPr="00767805">
              <w:rPr>
                <w:rStyle w:val="Hyperlink"/>
                <w:noProof/>
              </w:rPr>
              <w:t>2.</w:t>
            </w:r>
            <w:r w:rsidR="00C91A22">
              <w:rPr>
                <w:rFonts w:asciiTheme="minorHAnsi" w:eastAsiaTheme="minorEastAsia" w:hAnsiTheme="minorHAnsi"/>
                <w:noProof/>
                <w:sz w:val="22"/>
                <w:lang w:eastAsia="nl-NL"/>
              </w:rPr>
              <w:tab/>
            </w:r>
            <w:r w:rsidR="00C91A22" w:rsidRPr="00767805">
              <w:rPr>
                <w:rStyle w:val="Hyperlink"/>
                <w:noProof/>
              </w:rPr>
              <w:t>De opgave voor regio Noordwest</w:t>
            </w:r>
            <w:r w:rsidR="00C91A22">
              <w:rPr>
                <w:noProof/>
                <w:webHidden/>
              </w:rPr>
              <w:tab/>
            </w:r>
            <w:r w:rsidR="00C91A22">
              <w:rPr>
                <w:noProof/>
                <w:webHidden/>
              </w:rPr>
              <w:fldChar w:fldCharType="begin"/>
            </w:r>
            <w:r w:rsidR="00C91A22">
              <w:rPr>
                <w:noProof/>
                <w:webHidden/>
              </w:rPr>
              <w:instrText xml:space="preserve"> PAGEREF _Toc71287693 \h </w:instrText>
            </w:r>
            <w:r w:rsidR="00C91A22">
              <w:rPr>
                <w:noProof/>
                <w:webHidden/>
              </w:rPr>
            </w:r>
            <w:r w:rsidR="00C91A22">
              <w:rPr>
                <w:noProof/>
                <w:webHidden/>
              </w:rPr>
              <w:fldChar w:fldCharType="separate"/>
            </w:r>
            <w:r w:rsidR="00677C1D">
              <w:rPr>
                <w:noProof/>
                <w:webHidden/>
              </w:rPr>
              <w:t>6</w:t>
            </w:r>
            <w:r w:rsidR="00C91A22">
              <w:rPr>
                <w:noProof/>
                <w:webHidden/>
              </w:rPr>
              <w:fldChar w:fldCharType="end"/>
            </w:r>
          </w:hyperlink>
        </w:p>
        <w:p w14:paraId="6E4E04EB" w14:textId="573AF91A" w:rsidR="00C91A22" w:rsidRDefault="000830FD" w:rsidP="000131EB">
          <w:pPr>
            <w:pStyle w:val="Inhopg2"/>
            <w:tabs>
              <w:tab w:val="left" w:pos="660"/>
              <w:tab w:val="right" w:leader="dot" w:pos="8495"/>
            </w:tabs>
            <w:spacing w:line="276" w:lineRule="auto"/>
            <w:rPr>
              <w:rFonts w:asciiTheme="minorHAnsi" w:eastAsiaTheme="minorEastAsia" w:hAnsiTheme="minorHAnsi"/>
              <w:noProof/>
              <w:sz w:val="22"/>
              <w:lang w:eastAsia="nl-NL"/>
            </w:rPr>
          </w:pPr>
          <w:hyperlink w:anchor="_Toc71287694" w:history="1">
            <w:r w:rsidR="00C91A22" w:rsidRPr="00767805">
              <w:rPr>
                <w:rStyle w:val="Hyperlink"/>
                <w:noProof/>
              </w:rPr>
              <w:t>2.1</w:t>
            </w:r>
            <w:r w:rsidR="00C91A22">
              <w:rPr>
                <w:rFonts w:asciiTheme="minorHAnsi" w:eastAsiaTheme="minorEastAsia" w:hAnsiTheme="minorHAnsi"/>
                <w:noProof/>
                <w:sz w:val="22"/>
                <w:lang w:eastAsia="nl-NL"/>
              </w:rPr>
              <w:tab/>
            </w:r>
            <w:r w:rsidR="00C91A22" w:rsidRPr="00767805">
              <w:rPr>
                <w:rStyle w:val="Hyperlink"/>
                <w:noProof/>
              </w:rPr>
              <w:t>Huidige situatie</w:t>
            </w:r>
            <w:r w:rsidR="00C91A22">
              <w:rPr>
                <w:noProof/>
                <w:webHidden/>
              </w:rPr>
              <w:tab/>
            </w:r>
            <w:r w:rsidR="00C91A22">
              <w:rPr>
                <w:noProof/>
                <w:webHidden/>
              </w:rPr>
              <w:fldChar w:fldCharType="begin"/>
            </w:r>
            <w:r w:rsidR="00C91A22">
              <w:rPr>
                <w:noProof/>
                <w:webHidden/>
              </w:rPr>
              <w:instrText xml:space="preserve"> PAGEREF _Toc71287694 \h </w:instrText>
            </w:r>
            <w:r w:rsidR="00C91A22">
              <w:rPr>
                <w:noProof/>
                <w:webHidden/>
              </w:rPr>
            </w:r>
            <w:r w:rsidR="00C91A22">
              <w:rPr>
                <w:noProof/>
                <w:webHidden/>
              </w:rPr>
              <w:fldChar w:fldCharType="separate"/>
            </w:r>
            <w:r w:rsidR="00677C1D">
              <w:rPr>
                <w:noProof/>
                <w:webHidden/>
              </w:rPr>
              <w:t>6</w:t>
            </w:r>
            <w:r w:rsidR="00C91A22">
              <w:rPr>
                <w:noProof/>
                <w:webHidden/>
              </w:rPr>
              <w:fldChar w:fldCharType="end"/>
            </w:r>
          </w:hyperlink>
        </w:p>
        <w:p w14:paraId="421FA25B" w14:textId="39A9D1B4" w:rsidR="00C91A22" w:rsidRDefault="000830FD" w:rsidP="000131EB">
          <w:pPr>
            <w:pStyle w:val="Inhopg2"/>
            <w:tabs>
              <w:tab w:val="left" w:pos="880"/>
              <w:tab w:val="right" w:leader="dot" w:pos="8495"/>
            </w:tabs>
            <w:spacing w:line="276" w:lineRule="auto"/>
            <w:rPr>
              <w:rFonts w:asciiTheme="minorHAnsi" w:eastAsiaTheme="minorEastAsia" w:hAnsiTheme="minorHAnsi"/>
              <w:noProof/>
              <w:sz w:val="22"/>
              <w:lang w:eastAsia="nl-NL"/>
            </w:rPr>
          </w:pPr>
          <w:hyperlink w:anchor="_Toc71287695" w:history="1">
            <w:r w:rsidR="00C91A22" w:rsidRPr="00767805">
              <w:rPr>
                <w:rStyle w:val="Hyperlink"/>
                <w:noProof/>
              </w:rPr>
              <w:t>2.2</w:t>
            </w:r>
            <w:r w:rsidR="00C91A22">
              <w:rPr>
                <w:rFonts w:asciiTheme="minorHAnsi" w:eastAsiaTheme="minorEastAsia" w:hAnsiTheme="minorHAnsi"/>
                <w:noProof/>
                <w:sz w:val="22"/>
                <w:lang w:eastAsia="nl-NL"/>
              </w:rPr>
              <w:tab/>
            </w:r>
            <w:r w:rsidR="00C91A22" w:rsidRPr="00767805">
              <w:rPr>
                <w:rStyle w:val="Hyperlink"/>
                <w:noProof/>
              </w:rPr>
              <w:t>Prognose tot en met 2030</w:t>
            </w:r>
            <w:r w:rsidR="00C91A22">
              <w:rPr>
                <w:noProof/>
                <w:webHidden/>
              </w:rPr>
              <w:tab/>
            </w:r>
            <w:r w:rsidR="00C91A22">
              <w:rPr>
                <w:noProof/>
                <w:webHidden/>
              </w:rPr>
              <w:fldChar w:fldCharType="begin"/>
            </w:r>
            <w:r w:rsidR="00C91A22">
              <w:rPr>
                <w:noProof/>
                <w:webHidden/>
              </w:rPr>
              <w:instrText xml:space="preserve"> PAGEREF _Toc71287695 \h </w:instrText>
            </w:r>
            <w:r w:rsidR="00C91A22">
              <w:rPr>
                <w:noProof/>
                <w:webHidden/>
              </w:rPr>
            </w:r>
            <w:r w:rsidR="00C91A22">
              <w:rPr>
                <w:noProof/>
                <w:webHidden/>
              </w:rPr>
              <w:fldChar w:fldCharType="separate"/>
            </w:r>
            <w:r w:rsidR="00677C1D">
              <w:rPr>
                <w:noProof/>
                <w:webHidden/>
              </w:rPr>
              <w:t>7</w:t>
            </w:r>
            <w:r w:rsidR="00C91A22">
              <w:rPr>
                <w:noProof/>
                <w:webHidden/>
              </w:rPr>
              <w:fldChar w:fldCharType="end"/>
            </w:r>
          </w:hyperlink>
        </w:p>
        <w:p w14:paraId="52A467FB" w14:textId="73E966FA" w:rsidR="00C91A22" w:rsidRDefault="000830FD" w:rsidP="000131EB">
          <w:pPr>
            <w:pStyle w:val="Inhopg2"/>
            <w:tabs>
              <w:tab w:val="left" w:pos="880"/>
              <w:tab w:val="right" w:leader="dot" w:pos="8495"/>
            </w:tabs>
            <w:spacing w:line="276" w:lineRule="auto"/>
            <w:rPr>
              <w:rFonts w:asciiTheme="minorHAnsi" w:eastAsiaTheme="minorEastAsia" w:hAnsiTheme="minorHAnsi"/>
              <w:noProof/>
              <w:sz w:val="22"/>
              <w:lang w:eastAsia="nl-NL"/>
            </w:rPr>
          </w:pPr>
          <w:hyperlink w:anchor="_Toc71287696" w:history="1">
            <w:r w:rsidR="00C91A22" w:rsidRPr="00767805">
              <w:rPr>
                <w:rStyle w:val="Hyperlink"/>
                <w:noProof/>
              </w:rPr>
              <w:t>2.3</w:t>
            </w:r>
            <w:r w:rsidR="00C91A22">
              <w:rPr>
                <w:rFonts w:asciiTheme="minorHAnsi" w:eastAsiaTheme="minorEastAsia" w:hAnsiTheme="minorHAnsi"/>
                <w:noProof/>
                <w:sz w:val="22"/>
                <w:lang w:eastAsia="nl-NL"/>
              </w:rPr>
              <w:tab/>
            </w:r>
            <w:r w:rsidR="00C91A22" w:rsidRPr="00767805">
              <w:rPr>
                <w:rStyle w:val="Hyperlink"/>
                <w:noProof/>
              </w:rPr>
              <w:t>Ontwikkelingen emissievrij vervoer</w:t>
            </w:r>
            <w:r w:rsidR="00C91A22">
              <w:rPr>
                <w:noProof/>
                <w:webHidden/>
              </w:rPr>
              <w:tab/>
            </w:r>
            <w:r w:rsidR="00C91A22">
              <w:rPr>
                <w:noProof/>
                <w:webHidden/>
              </w:rPr>
              <w:fldChar w:fldCharType="begin"/>
            </w:r>
            <w:r w:rsidR="00C91A22">
              <w:rPr>
                <w:noProof/>
                <w:webHidden/>
              </w:rPr>
              <w:instrText xml:space="preserve"> PAGEREF _Toc71287696 \h </w:instrText>
            </w:r>
            <w:r w:rsidR="00C91A22">
              <w:rPr>
                <w:noProof/>
                <w:webHidden/>
              </w:rPr>
            </w:r>
            <w:r w:rsidR="00C91A22">
              <w:rPr>
                <w:noProof/>
                <w:webHidden/>
              </w:rPr>
              <w:fldChar w:fldCharType="separate"/>
            </w:r>
            <w:r w:rsidR="00677C1D">
              <w:rPr>
                <w:noProof/>
                <w:webHidden/>
              </w:rPr>
              <w:t>8</w:t>
            </w:r>
            <w:r w:rsidR="00C91A22">
              <w:rPr>
                <w:noProof/>
                <w:webHidden/>
              </w:rPr>
              <w:fldChar w:fldCharType="end"/>
            </w:r>
          </w:hyperlink>
        </w:p>
        <w:p w14:paraId="0835E9BE" w14:textId="6579B610" w:rsidR="00C91A22" w:rsidRDefault="000830FD" w:rsidP="000131EB">
          <w:pPr>
            <w:pStyle w:val="Inhopg1"/>
            <w:tabs>
              <w:tab w:val="left" w:pos="440"/>
              <w:tab w:val="right" w:leader="dot" w:pos="8495"/>
            </w:tabs>
            <w:spacing w:line="276" w:lineRule="auto"/>
            <w:rPr>
              <w:rFonts w:asciiTheme="minorHAnsi" w:eastAsiaTheme="minorEastAsia" w:hAnsiTheme="minorHAnsi"/>
              <w:noProof/>
              <w:sz w:val="22"/>
              <w:lang w:eastAsia="nl-NL"/>
            </w:rPr>
          </w:pPr>
          <w:hyperlink w:anchor="_Toc71287697" w:history="1">
            <w:r w:rsidR="00C91A22" w:rsidRPr="00767805">
              <w:rPr>
                <w:rStyle w:val="Hyperlink"/>
                <w:noProof/>
              </w:rPr>
              <w:t>3.</w:t>
            </w:r>
            <w:r w:rsidR="00C91A22">
              <w:rPr>
                <w:rFonts w:asciiTheme="minorHAnsi" w:eastAsiaTheme="minorEastAsia" w:hAnsiTheme="minorHAnsi"/>
                <w:noProof/>
                <w:sz w:val="22"/>
                <w:lang w:eastAsia="nl-NL"/>
              </w:rPr>
              <w:tab/>
            </w:r>
            <w:r w:rsidR="00C91A22" w:rsidRPr="00767805">
              <w:rPr>
                <w:rStyle w:val="Hyperlink"/>
                <w:noProof/>
              </w:rPr>
              <w:t>Op weg naar een dekkende laadinfrastructuur in de regio</w:t>
            </w:r>
            <w:r w:rsidR="00C91A22">
              <w:rPr>
                <w:noProof/>
                <w:webHidden/>
              </w:rPr>
              <w:tab/>
            </w:r>
            <w:r w:rsidR="00C91A22">
              <w:rPr>
                <w:noProof/>
                <w:webHidden/>
              </w:rPr>
              <w:fldChar w:fldCharType="begin"/>
            </w:r>
            <w:r w:rsidR="00C91A22">
              <w:rPr>
                <w:noProof/>
                <w:webHidden/>
              </w:rPr>
              <w:instrText xml:space="preserve"> PAGEREF _Toc71287697 \h </w:instrText>
            </w:r>
            <w:r w:rsidR="00C91A22">
              <w:rPr>
                <w:noProof/>
                <w:webHidden/>
              </w:rPr>
            </w:r>
            <w:r w:rsidR="00C91A22">
              <w:rPr>
                <w:noProof/>
                <w:webHidden/>
              </w:rPr>
              <w:fldChar w:fldCharType="separate"/>
            </w:r>
            <w:r w:rsidR="00677C1D">
              <w:rPr>
                <w:noProof/>
                <w:webHidden/>
              </w:rPr>
              <w:t>10</w:t>
            </w:r>
            <w:r w:rsidR="00C91A22">
              <w:rPr>
                <w:noProof/>
                <w:webHidden/>
              </w:rPr>
              <w:fldChar w:fldCharType="end"/>
            </w:r>
          </w:hyperlink>
        </w:p>
        <w:p w14:paraId="1754E489" w14:textId="061FB406" w:rsidR="00C91A22" w:rsidRDefault="000830FD" w:rsidP="000131EB">
          <w:pPr>
            <w:pStyle w:val="Inhopg2"/>
            <w:tabs>
              <w:tab w:val="left" w:pos="660"/>
              <w:tab w:val="right" w:leader="dot" w:pos="8495"/>
            </w:tabs>
            <w:spacing w:line="276" w:lineRule="auto"/>
            <w:rPr>
              <w:rFonts w:asciiTheme="minorHAnsi" w:eastAsiaTheme="minorEastAsia" w:hAnsiTheme="minorHAnsi"/>
              <w:noProof/>
              <w:sz w:val="22"/>
              <w:lang w:eastAsia="nl-NL"/>
            </w:rPr>
          </w:pPr>
          <w:hyperlink w:anchor="_Toc71287698" w:history="1">
            <w:r w:rsidR="00C91A22" w:rsidRPr="00767805">
              <w:rPr>
                <w:rStyle w:val="Hyperlink"/>
                <w:noProof/>
              </w:rPr>
              <w:t>3.1</w:t>
            </w:r>
            <w:r w:rsidR="00C91A22">
              <w:rPr>
                <w:rFonts w:asciiTheme="minorHAnsi" w:eastAsiaTheme="minorEastAsia" w:hAnsiTheme="minorHAnsi"/>
                <w:noProof/>
                <w:sz w:val="22"/>
                <w:lang w:eastAsia="nl-NL"/>
              </w:rPr>
              <w:tab/>
            </w:r>
            <w:r w:rsidR="00C91A22" w:rsidRPr="00767805">
              <w:rPr>
                <w:rStyle w:val="Hyperlink"/>
                <w:noProof/>
              </w:rPr>
              <w:t>Typen vervoersmiddelen en gebruikersgroepen</w:t>
            </w:r>
            <w:r w:rsidR="00C91A22">
              <w:rPr>
                <w:noProof/>
                <w:webHidden/>
              </w:rPr>
              <w:tab/>
            </w:r>
            <w:r w:rsidR="00C91A22">
              <w:rPr>
                <w:noProof/>
                <w:webHidden/>
              </w:rPr>
              <w:fldChar w:fldCharType="begin"/>
            </w:r>
            <w:r w:rsidR="00C91A22">
              <w:rPr>
                <w:noProof/>
                <w:webHidden/>
              </w:rPr>
              <w:instrText xml:space="preserve"> PAGEREF _Toc71287698 \h </w:instrText>
            </w:r>
            <w:r w:rsidR="00C91A22">
              <w:rPr>
                <w:noProof/>
                <w:webHidden/>
              </w:rPr>
            </w:r>
            <w:r w:rsidR="00C91A22">
              <w:rPr>
                <w:noProof/>
                <w:webHidden/>
              </w:rPr>
              <w:fldChar w:fldCharType="separate"/>
            </w:r>
            <w:r w:rsidR="00677C1D">
              <w:rPr>
                <w:noProof/>
                <w:webHidden/>
              </w:rPr>
              <w:t>10</w:t>
            </w:r>
            <w:r w:rsidR="00C91A22">
              <w:rPr>
                <w:noProof/>
                <w:webHidden/>
              </w:rPr>
              <w:fldChar w:fldCharType="end"/>
            </w:r>
          </w:hyperlink>
        </w:p>
        <w:p w14:paraId="2ED00C53" w14:textId="7624CCBE" w:rsidR="00C91A22" w:rsidRDefault="000830FD" w:rsidP="000131EB">
          <w:pPr>
            <w:pStyle w:val="Inhopg2"/>
            <w:tabs>
              <w:tab w:val="left" w:pos="880"/>
              <w:tab w:val="right" w:leader="dot" w:pos="8495"/>
            </w:tabs>
            <w:spacing w:line="276" w:lineRule="auto"/>
            <w:rPr>
              <w:rFonts w:asciiTheme="minorHAnsi" w:eastAsiaTheme="minorEastAsia" w:hAnsiTheme="minorHAnsi"/>
              <w:noProof/>
              <w:sz w:val="22"/>
              <w:lang w:eastAsia="nl-NL"/>
            </w:rPr>
          </w:pPr>
          <w:hyperlink w:anchor="_Toc71287699" w:history="1">
            <w:r w:rsidR="00C91A22" w:rsidRPr="00767805">
              <w:rPr>
                <w:rStyle w:val="Hyperlink"/>
                <w:noProof/>
              </w:rPr>
              <w:t>3.2</w:t>
            </w:r>
            <w:r w:rsidR="00C91A22">
              <w:rPr>
                <w:rFonts w:asciiTheme="minorHAnsi" w:eastAsiaTheme="minorEastAsia" w:hAnsiTheme="minorHAnsi"/>
                <w:noProof/>
                <w:sz w:val="22"/>
                <w:lang w:eastAsia="nl-NL"/>
              </w:rPr>
              <w:tab/>
            </w:r>
            <w:r w:rsidR="00C91A22" w:rsidRPr="00767805">
              <w:rPr>
                <w:rStyle w:val="Hyperlink"/>
                <w:noProof/>
              </w:rPr>
              <w:t>Publiek laden</w:t>
            </w:r>
            <w:r w:rsidR="00C91A22">
              <w:rPr>
                <w:noProof/>
                <w:webHidden/>
              </w:rPr>
              <w:tab/>
            </w:r>
            <w:r w:rsidR="00C91A22">
              <w:rPr>
                <w:noProof/>
                <w:webHidden/>
              </w:rPr>
              <w:fldChar w:fldCharType="begin"/>
            </w:r>
            <w:r w:rsidR="00C91A22">
              <w:rPr>
                <w:noProof/>
                <w:webHidden/>
              </w:rPr>
              <w:instrText xml:space="preserve"> PAGEREF _Toc71287699 \h </w:instrText>
            </w:r>
            <w:r w:rsidR="00C91A22">
              <w:rPr>
                <w:noProof/>
                <w:webHidden/>
              </w:rPr>
            </w:r>
            <w:r w:rsidR="00C91A22">
              <w:rPr>
                <w:noProof/>
                <w:webHidden/>
              </w:rPr>
              <w:fldChar w:fldCharType="separate"/>
            </w:r>
            <w:r w:rsidR="00677C1D">
              <w:rPr>
                <w:noProof/>
                <w:webHidden/>
              </w:rPr>
              <w:t>12</w:t>
            </w:r>
            <w:r w:rsidR="00C91A22">
              <w:rPr>
                <w:noProof/>
                <w:webHidden/>
              </w:rPr>
              <w:fldChar w:fldCharType="end"/>
            </w:r>
          </w:hyperlink>
        </w:p>
        <w:p w14:paraId="7E759A99" w14:textId="43A23820" w:rsidR="00C91A22" w:rsidRDefault="000830FD" w:rsidP="000131EB">
          <w:pPr>
            <w:pStyle w:val="Inhopg2"/>
            <w:tabs>
              <w:tab w:val="left" w:pos="880"/>
              <w:tab w:val="right" w:leader="dot" w:pos="8495"/>
            </w:tabs>
            <w:spacing w:line="276" w:lineRule="auto"/>
            <w:rPr>
              <w:rFonts w:asciiTheme="minorHAnsi" w:eastAsiaTheme="minorEastAsia" w:hAnsiTheme="minorHAnsi"/>
              <w:noProof/>
              <w:sz w:val="22"/>
              <w:lang w:eastAsia="nl-NL"/>
            </w:rPr>
          </w:pPr>
          <w:hyperlink w:anchor="_Toc71287700" w:history="1">
            <w:r w:rsidR="00C91A22" w:rsidRPr="00767805">
              <w:rPr>
                <w:rStyle w:val="Hyperlink"/>
                <w:noProof/>
              </w:rPr>
              <w:t>3.3</w:t>
            </w:r>
            <w:r w:rsidR="00C91A22">
              <w:rPr>
                <w:rFonts w:asciiTheme="minorHAnsi" w:eastAsiaTheme="minorEastAsia" w:hAnsiTheme="minorHAnsi"/>
                <w:noProof/>
                <w:sz w:val="22"/>
                <w:lang w:eastAsia="nl-NL"/>
              </w:rPr>
              <w:tab/>
            </w:r>
            <w:r w:rsidR="00C91A22" w:rsidRPr="00767805">
              <w:rPr>
                <w:rStyle w:val="Hyperlink"/>
                <w:noProof/>
              </w:rPr>
              <w:t>Privaat en semi-publiek laden</w:t>
            </w:r>
            <w:r w:rsidR="00C91A22">
              <w:rPr>
                <w:noProof/>
                <w:webHidden/>
              </w:rPr>
              <w:tab/>
            </w:r>
            <w:r w:rsidR="00C91A22">
              <w:rPr>
                <w:noProof/>
                <w:webHidden/>
              </w:rPr>
              <w:fldChar w:fldCharType="begin"/>
            </w:r>
            <w:r w:rsidR="00C91A22">
              <w:rPr>
                <w:noProof/>
                <w:webHidden/>
              </w:rPr>
              <w:instrText xml:space="preserve"> PAGEREF _Toc71287700 \h </w:instrText>
            </w:r>
            <w:r w:rsidR="00C91A22">
              <w:rPr>
                <w:noProof/>
                <w:webHidden/>
              </w:rPr>
            </w:r>
            <w:r w:rsidR="00C91A22">
              <w:rPr>
                <w:noProof/>
                <w:webHidden/>
              </w:rPr>
              <w:fldChar w:fldCharType="separate"/>
            </w:r>
            <w:r w:rsidR="00677C1D">
              <w:rPr>
                <w:noProof/>
                <w:webHidden/>
              </w:rPr>
              <w:t>16</w:t>
            </w:r>
            <w:r w:rsidR="00C91A22">
              <w:rPr>
                <w:noProof/>
                <w:webHidden/>
              </w:rPr>
              <w:fldChar w:fldCharType="end"/>
            </w:r>
          </w:hyperlink>
        </w:p>
        <w:p w14:paraId="00B8E69B" w14:textId="324EABD6" w:rsidR="00C91A22" w:rsidRDefault="000830FD" w:rsidP="000131EB">
          <w:pPr>
            <w:pStyle w:val="Inhopg2"/>
            <w:tabs>
              <w:tab w:val="left" w:pos="880"/>
              <w:tab w:val="right" w:leader="dot" w:pos="8495"/>
            </w:tabs>
            <w:spacing w:line="276" w:lineRule="auto"/>
            <w:rPr>
              <w:rFonts w:asciiTheme="minorHAnsi" w:eastAsiaTheme="minorEastAsia" w:hAnsiTheme="minorHAnsi"/>
              <w:noProof/>
              <w:sz w:val="22"/>
              <w:lang w:eastAsia="nl-NL"/>
            </w:rPr>
          </w:pPr>
          <w:hyperlink w:anchor="_Toc71287701" w:history="1">
            <w:r w:rsidR="00C91A22" w:rsidRPr="00767805">
              <w:rPr>
                <w:rStyle w:val="Hyperlink"/>
                <w:noProof/>
              </w:rPr>
              <w:t>3.4</w:t>
            </w:r>
            <w:r w:rsidR="00C91A22">
              <w:rPr>
                <w:rFonts w:asciiTheme="minorHAnsi" w:eastAsiaTheme="minorEastAsia" w:hAnsiTheme="minorHAnsi"/>
                <w:noProof/>
                <w:sz w:val="22"/>
                <w:lang w:eastAsia="nl-NL"/>
              </w:rPr>
              <w:tab/>
            </w:r>
            <w:r w:rsidR="00C91A22" w:rsidRPr="00767805">
              <w:rPr>
                <w:rStyle w:val="Hyperlink"/>
                <w:noProof/>
              </w:rPr>
              <w:t>Snellaadpunten</w:t>
            </w:r>
            <w:r w:rsidR="00C91A22">
              <w:rPr>
                <w:noProof/>
                <w:webHidden/>
              </w:rPr>
              <w:tab/>
            </w:r>
            <w:r w:rsidR="00C91A22">
              <w:rPr>
                <w:noProof/>
                <w:webHidden/>
              </w:rPr>
              <w:fldChar w:fldCharType="begin"/>
            </w:r>
            <w:r w:rsidR="00C91A22">
              <w:rPr>
                <w:noProof/>
                <w:webHidden/>
              </w:rPr>
              <w:instrText xml:space="preserve"> PAGEREF _Toc71287701 \h </w:instrText>
            </w:r>
            <w:r w:rsidR="00C91A22">
              <w:rPr>
                <w:noProof/>
                <w:webHidden/>
              </w:rPr>
            </w:r>
            <w:r w:rsidR="00C91A22">
              <w:rPr>
                <w:noProof/>
                <w:webHidden/>
              </w:rPr>
              <w:fldChar w:fldCharType="separate"/>
            </w:r>
            <w:r w:rsidR="00677C1D">
              <w:rPr>
                <w:noProof/>
                <w:webHidden/>
              </w:rPr>
              <w:t>21</w:t>
            </w:r>
            <w:r w:rsidR="00C91A22">
              <w:rPr>
                <w:noProof/>
                <w:webHidden/>
              </w:rPr>
              <w:fldChar w:fldCharType="end"/>
            </w:r>
          </w:hyperlink>
        </w:p>
        <w:p w14:paraId="50738812" w14:textId="4F737B20" w:rsidR="00C91A22" w:rsidRDefault="000830FD" w:rsidP="000131EB">
          <w:pPr>
            <w:pStyle w:val="Inhopg2"/>
            <w:tabs>
              <w:tab w:val="left" w:pos="880"/>
              <w:tab w:val="right" w:leader="dot" w:pos="8495"/>
            </w:tabs>
            <w:spacing w:line="276" w:lineRule="auto"/>
            <w:rPr>
              <w:rFonts w:asciiTheme="minorHAnsi" w:eastAsiaTheme="minorEastAsia" w:hAnsiTheme="minorHAnsi"/>
              <w:noProof/>
              <w:sz w:val="22"/>
              <w:lang w:eastAsia="nl-NL"/>
            </w:rPr>
          </w:pPr>
          <w:hyperlink w:anchor="_Toc71287702" w:history="1">
            <w:r w:rsidR="00C91A22" w:rsidRPr="00767805">
              <w:rPr>
                <w:rStyle w:val="Hyperlink"/>
                <w:noProof/>
              </w:rPr>
              <w:t>3.5</w:t>
            </w:r>
            <w:r w:rsidR="00C91A22">
              <w:rPr>
                <w:rFonts w:asciiTheme="minorHAnsi" w:eastAsiaTheme="minorEastAsia" w:hAnsiTheme="minorHAnsi"/>
                <w:noProof/>
                <w:sz w:val="22"/>
                <w:lang w:eastAsia="nl-NL"/>
              </w:rPr>
              <w:tab/>
            </w:r>
            <w:r w:rsidR="00C91A22" w:rsidRPr="00767805">
              <w:rPr>
                <w:rStyle w:val="Hyperlink"/>
                <w:noProof/>
              </w:rPr>
              <w:t>Samenwerken met de netbeheerders</w:t>
            </w:r>
            <w:r w:rsidR="00C91A22">
              <w:rPr>
                <w:noProof/>
                <w:webHidden/>
              </w:rPr>
              <w:tab/>
            </w:r>
            <w:r w:rsidR="00C91A22">
              <w:rPr>
                <w:noProof/>
                <w:webHidden/>
              </w:rPr>
              <w:fldChar w:fldCharType="begin"/>
            </w:r>
            <w:r w:rsidR="00C91A22">
              <w:rPr>
                <w:noProof/>
                <w:webHidden/>
              </w:rPr>
              <w:instrText xml:space="preserve"> PAGEREF _Toc71287702 \h </w:instrText>
            </w:r>
            <w:r w:rsidR="00C91A22">
              <w:rPr>
                <w:noProof/>
                <w:webHidden/>
              </w:rPr>
            </w:r>
            <w:r w:rsidR="00C91A22">
              <w:rPr>
                <w:noProof/>
                <w:webHidden/>
              </w:rPr>
              <w:fldChar w:fldCharType="separate"/>
            </w:r>
            <w:r w:rsidR="00677C1D">
              <w:rPr>
                <w:noProof/>
                <w:webHidden/>
              </w:rPr>
              <w:t>25</w:t>
            </w:r>
            <w:r w:rsidR="00C91A22">
              <w:rPr>
                <w:noProof/>
                <w:webHidden/>
              </w:rPr>
              <w:fldChar w:fldCharType="end"/>
            </w:r>
          </w:hyperlink>
        </w:p>
        <w:p w14:paraId="7B380A7B" w14:textId="7A268C61" w:rsidR="00C91A22" w:rsidRDefault="000830FD" w:rsidP="000131EB">
          <w:pPr>
            <w:pStyle w:val="Inhopg1"/>
            <w:tabs>
              <w:tab w:val="left" w:pos="440"/>
              <w:tab w:val="right" w:leader="dot" w:pos="8495"/>
            </w:tabs>
            <w:spacing w:line="276" w:lineRule="auto"/>
            <w:rPr>
              <w:rFonts w:asciiTheme="minorHAnsi" w:eastAsiaTheme="minorEastAsia" w:hAnsiTheme="minorHAnsi"/>
              <w:noProof/>
              <w:sz w:val="22"/>
              <w:lang w:eastAsia="nl-NL"/>
            </w:rPr>
          </w:pPr>
          <w:hyperlink w:anchor="_Toc71287703" w:history="1">
            <w:r w:rsidR="00C91A22" w:rsidRPr="00767805">
              <w:rPr>
                <w:rStyle w:val="Hyperlink"/>
                <w:noProof/>
              </w:rPr>
              <w:t>4.</w:t>
            </w:r>
            <w:r w:rsidR="00C91A22">
              <w:rPr>
                <w:rFonts w:asciiTheme="minorHAnsi" w:eastAsiaTheme="minorEastAsia" w:hAnsiTheme="minorHAnsi"/>
                <w:noProof/>
                <w:sz w:val="22"/>
                <w:lang w:eastAsia="nl-NL"/>
              </w:rPr>
              <w:tab/>
            </w:r>
            <w:r w:rsidR="00C91A22" w:rsidRPr="00767805">
              <w:rPr>
                <w:rStyle w:val="Hyperlink"/>
                <w:noProof/>
              </w:rPr>
              <w:t>Elektrisch rijde</w:t>
            </w:r>
            <w:r w:rsidR="00C91A22" w:rsidRPr="00767805">
              <w:rPr>
                <w:rStyle w:val="Hyperlink"/>
                <w:noProof/>
              </w:rPr>
              <w:t>n</w:t>
            </w:r>
            <w:r w:rsidR="00C91A22" w:rsidRPr="00767805">
              <w:rPr>
                <w:rStyle w:val="Hyperlink"/>
                <w:noProof/>
              </w:rPr>
              <w:t xml:space="preserve"> zo aantrekkelijk mogelijk maken</w:t>
            </w:r>
            <w:r w:rsidR="00C91A22">
              <w:rPr>
                <w:noProof/>
                <w:webHidden/>
              </w:rPr>
              <w:tab/>
            </w:r>
            <w:r w:rsidR="00C91A22">
              <w:rPr>
                <w:noProof/>
                <w:webHidden/>
              </w:rPr>
              <w:fldChar w:fldCharType="begin"/>
            </w:r>
            <w:r w:rsidR="00C91A22">
              <w:rPr>
                <w:noProof/>
                <w:webHidden/>
              </w:rPr>
              <w:instrText xml:space="preserve"> PAGEREF _Toc71287703 \h </w:instrText>
            </w:r>
            <w:r w:rsidR="00C91A22">
              <w:rPr>
                <w:noProof/>
                <w:webHidden/>
              </w:rPr>
            </w:r>
            <w:r w:rsidR="00C91A22">
              <w:rPr>
                <w:noProof/>
                <w:webHidden/>
              </w:rPr>
              <w:fldChar w:fldCharType="separate"/>
            </w:r>
            <w:r w:rsidR="00677C1D">
              <w:rPr>
                <w:noProof/>
                <w:webHidden/>
              </w:rPr>
              <w:t>27</w:t>
            </w:r>
            <w:r w:rsidR="00C91A22">
              <w:rPr>
                <w:noProof/>
                <w:webHidden/>
              </w:rPr>
              <w:fldChar w:fldCharType="end"/>
            </w:r>
          </w:hyperlink>
        </w:p>
        <w:p w14:paraId="2FF70439" w14:textId="59FDC9DA" w:rsidR="00C91A22" w:rsidRDefault="000830FD" w:rsidP="000131EB">
          <w:pPr>
            <w:pStyle w:val="Inhopg2"/>
            <w:tabs>
              <w:tab w:val="left" w:pos="660"/>
              <w:tab w:val="right" w:leader="dot" w:pos="8495"/>
            </w:tabs>
            <w:spacing w:line="276" w:lineRule="auto"/>
            <w:rPr>
              <w:rFonts w:asciiTheme="minorHAnsi" w:eastAsiaTheme="minorEastAsia" w:hAnsiTheme="minorHAnsi"/>
              <w:noProof/>
              <w:sz w:val="22"/>
              <w:lang w:eastAsia="nl-NL"/>
            </w:rPr>
          </w:pPr>
          <w:hyperlink w:anchor="_Toc71287704" w:history="1">
            <w:r w:rsidR="00C91A22" w:rsidRPr="00767805">
              <w:rPr>
                <w:rStyle w:val="Hyperlink"/>
                <w:noProof/>
              </w:rPr>
              <w:t>4.1</w:t>
            </w:r>
            <w:r w:rsidR="00C91A22">
              <w:rPr>
                <w:rFonts w:asciiTheme="minorHAnsi" w:eastAsiaTheme="minorEastAsia" w:hAnsiTheme="minorHAnsi"/>
                <w:noProof/>
                <w:sz w:val="22"/>
                <w:lang w:eastAsia="nl-NL"/>
              </w:rPr>
              <w:tab/>
            </w:r>
            <w:r w:rsidR="00C91A22" w:rsidRPr="00767805">
              <w:rPr>
                <w:rStyle w:val="Hyperlink"/>
                <w:noProof/>
              </w:rPr>
              <w:t>Slim laden</w:t>
            </w:r>
            <w:r w:rsidR="00C91A22">
              <w:rPr>
                <w:noProof/>
                <w:webHidden/>
              </w:rPr>
              <w:tab/>
            </w:r>
            <w:r w:rsidR="00C91A22">
              <w:rPr>
                <w:noProof/>
                <w:webHidden/>
              </w:rPr>
              <w:fldChar w:fldCharType="begin"/>
            </w:r>
            <w:r w:rsidR="00C91A22">
              <w:rPr>
                <w:noProof/>
                <w:webHidden/>
              </w:rPr>
              <w:instrText xml:space="preserve"> PAGEREF _Toc71287704 \h </w:instrText>
            </w:r>
            <w:r w:rsidR="00C91A22">
              <w:rPr>
                <w:noProof/>
                <w:webHidden/>
              </w:rPr>
            </w:r>
            <w:r w:rsidR="00C91A22">
              <w:rPr>
                <w:noProof/>
                <w:webHidden/>
              </w:rPr>
              <w:fldChar w:fldCharType="separate"/>
            </w:r>
            <w:r w:rsidR="00677C1D">
              <w:rPr>
                <w:noProof/>
                <w:webHidden/>
              </w:rPr>
              <w:t>27</w:t>
            </w:r>
            <w:r w:rsidR="00C91A22">
              <w:rPr>
                <w:noProof/>
                <w:webHidden/>
              </w:rPr>
              <w:fldChar w:fldCharType="end"/>
            </w:r>
          </w:hyperlink>
        </w:p>
        <w:p w14:paraId="3269DC25" w14:textId="39DAA2FC" w:rsidR="00C91A22" w:rsidRDefault="000830FD" w:rsidP="000131EB">
          <w:pPr>
            <w:pStyle w:val="Inhopg2"/>
            <w:tabs>
              <w:tab w:val="left" w:pos="880"/>
              <w:tab w:val="right" w:leader="dot" w:pos="8495"/>
            </w:tabs>
            <w:spacing w:line="276" w:lineRule="auto"/>
            <w:rPr>
              <w:rFonts w:asciiTheme="minorHAnsi" w:eastAsiaTheme="minorEastAsia" w:hAnsiTheme="minorHAnsi"/>
              <w:noProof/>
              <w:sz w:val="22"/>
              <w:lang w:eastAsia="nl-NL"/>
            </w:rPr>
          </w:pPr>
          <w:hyperlink w:anchor="_Toc71287705" w:history="1">
            <w:r w:rsidR="00C91A22" w:rsidRPr="00767805">
              <w:rPr>
                <w:rStyle w:val="Hyperlink"/>
                <w:noProof/>
              </w:rPr>
              <w:t>4.2</w:t>
            </w:r>
            <w:r w:rsidR="00C91A22">
              <w:rPr>
                <w:rFonts w:asciiTheme="minorHAnsi" w:eastAsiaTheme="minorEastAsia" w:hAnsiTheme="minorHAnsi"/>
                <w:noProof/>
                <w:sz w:val="22"/>
                <w:lang w:eastAsia="nl-NL"/>
              </w:rPr>
              <w:tab/>
            </w:r>
            <w:r w:rsidR="00C91A22" w:rsidRPr="00767805">
              <w:rPr>
                <w:rStyle w:val="Hyperlink"/>
                <w:noProof/>
              </w:rPr>
              <w:t>Prijstransparantie en informatievoorziening</w:t>
            </w:r>
            <w:r w:rsidR="00C91A22">
              <w:rPr>
                <w:noProof/>
                <w:webHidden/>
              </w:rPr>
              <w:tab/>
            </w:r>
            <w:r w:rsidR="00C91A22">
              <w:rPr>
                <w:noProof/>
                <w:webHidden/>
              </w:rPr>
              <w:fldChar w:fldCharType="begin"/>
            </w:r>
            <w:r w:rsidR="00C91A22">
              <w:rPr>
                <w:noProof/>
                <w:webHidden/>
              </w:rPr>
              <w:instrText xml:space="preserve"> PAGEREF _Toc71287705 \h </w:instrText>
            </w:r>
            <w:r w:rsidR="00C91A22">
              <w:rPr>
                <w:noProof/>
                <w:webHidden/>
              </w:rPr>
            </w:r>
            <w:r w:rsidR="00C91A22">
              <w:rPr>
                <w:noProof/>
                <w:webHidden/>
              </w:rPr>
              <w:fldChar w:fldCharType="separate"/>
            </w:r>
            <w:r w:rsidR="00677C1D">
              <w:rPr>
                <w:noProof/>
                <w:webHidden/>
              </w:rPr>
              <w:t>28</w:t>
            </w:r>
            <w:r w:rsidR="00C91A22">
              <w:rPr>
                <w:noProof/>
                <w:webHidden/>
              </w:rPr>
              <w:fldChar w:fldCharType="end"/>
            </w:r>
          </w:hyperlink>
        </w:p>
        <w:p w14:paraId="222F3E53" w14:textId="3271F543" w:rsidR="00C91A22" w:rsidRDefault="000830FD" w:rsidP="000131EB">
          <w:pPr>
            <w:pStyle w:val="Inhopg2"/>
            <w:tabs>
              <w:tab w:val="left" w:pos="880"/>
              <w:tab w:val="right" w:leader="dot" w:pos="8495"/>
            </w:tabs>
            <w:spacing w:line="276" w:lineRule="auto"/>
            <w:rPr>
              <w:rFonts w:asciiTheme="minorHAnsi" w:eastAsiaTheme="minorEastAsia" w:hAnsiTheme="minorHAnsi"/>
              <w:noProof/>
              <w:sz w:val="22"/>
              <w:lang w:eastAsia="nl-NL"/>
            </w:rPr>
          </w:pPr>
          <w:hyperlink w:anchor="_Toc71287706" w:history="1">
            <w:r w:rsidR="00C91A22" w:rsidRPr="00767805">
              <w:rPr>
                <w:rStyle w:val="Hyperlink"/>
                <w:noProof/>
              </w:rPr>
              <w:t>4.3</w:t>
            </w:r>
            <w:r w:rsidR="00C91A22">
              <w:rPr>
                <w:rFonts w:asciiTheme="minorHAnsi" w:eastAsiaTheme="minorEastAsia" w:hAnsiTheme="minorHAnsi"/>
                <w:noProof/>
                <w:sz w:val="22"/>
                <w:lang w:eastAsia="nl-NL"/>
              </w:rPr>
              <w:tab/>
            </w:r>
            <w:r w:rsidR="00C91A22" w:rsidRPr="00767805">
              <w:rPr>
                <w:rStyle w:val="Hyperlink"/>
                <w:noProof/>
              </w:rPr>
              <w:t>Open markten en protocollen</w:t>
            </w:r>
            <w:r w:rsidR="00C91A22">
              <w:rPr>
                <w:noProof/>
                <w:webHidden/>
              </w:rPr>
              <w:tab/>
            </w:r>
            <w:r w:rsidR="00C91A22">
              <w:rPr>
                <w:noProof/>
                <w:webHidden/>
              </w:rPr>
              <w:fldChar w:fldCharType="begin"/>
            </w:r>
            <w:r w:rsidR="00C91A22">
              <w:rPr>
                <w:noProof/>
                <w:webHidden/>
              </w:rPr>
              <w:instrText xml:space="preserve"> PAGEREF _Toc71287706 \h </w:instrText>
            </w:r>
            <w:r w:rsidR="00C91A22">
              <w:rPr>
                <w:noProof/>
                <w:webHidden/>
              </w:rPr>
            </w:r>
            <w:r w:rsidR="00C91A22">
              <w:rPr>
                <w:noProof/>
                <w:webHidden/>
              </w:rPr>
              <w:fldChar w:fldCharType="separate"/>
            </w:r>
            <w:r w:rsidR="00677C1D">
              <w:rPr>
                <w:noProof/>
                <w:webHidden/>
              </w:rPr>
              <w:t>29</w:t>
            </w:r>
            <w:r w:rsidR="00C91A22">
              <w:rPr>
                <w:noProof/>
                <w:webHidden/>
              </w:rPr>
              <w:fldChar w:fldCharType="end"/>
            </w:r>
          </w:hyperlink>
        </w:p>
        <w:p w14:paraId="0976C98D" w14:textId="5D77CB55" w:rsidR="00C91A22" w:rsidRDefault="000830FD" w:rsidP="000131EB">
          <w:pPr>
            <w:pStyle w:val="Inhopg2"/>
            <w:tabs>
              <w:tab w:val="left" w:pos="880"/>
              <w:tab w:val="right" w:leader="dot" w:pos="8495"/>
            </w:tabs>
            <w:spacing w:line="276" w:lineRule="auto"/>
            <w:rPr>
              <w:rFonts w:asciiTheme="minorHAnsi" w:eastAsiaTheme="minorEastAsia" w:hAnsiTheme="minorHAnsi"/>
              <w:noProof/>
              <w:sz w:val="22"/>
              <w:lang w:eastAsia="nl-NL"/>
            </w:rPr>
          </w:pPr>
          <w:hyperlink w:anchor="_Toc71287707" w:history="1">
            <w:r w:rsidR="00C91A22" w:rsidRPr="00767805">
              <w:rPr>
                <w:rStyle w:val="Hyperlink"/>
                <w:noProof/>
              </w:rPr>
              <w:t>4.4</w:t>
            </w:r>
            <w:r w:rsidR="00C91A22">
              <w:rPr>
                <w:rFonts w:asciiTheme="minorHAnsi" w:eastAsiaTheme="minorEastAsia" w:hAnsiTheme="minorHAnsi"/>
                <w:noProof/>
                <w:sz w:val="22"/>
                <w:lang w:eastAsia="nl-NL"/>
              </w:rPr>
              <w:tab/>
            </w:r>
            <w:r w:rsidR="00C91A22" w:rsidRPr="00767805">
              <w:rPr>
                <w:rStyle w:val="Hyperlink"/>
                <w:noProof/>
              </w:rPr>
              <w:t>Borging en stimulering op regionaal niveau</w:t>
            </w:r>
            <w:r w:rsidR="00C91A22">
              <w:rPr>
                <w:noProof/>
                <w:webHidden/>
              </w:rPr>
              <w:tab/>
            </w:r>
            <w:r w:rsidR="00C91A22">
              <w:rPr>
                <w:noProof/>
                <w:webHidden/>
              </w:rPr>
              <w:fldChar w:fldCharType="begin"/>
            </w:r>
            <w:r w:rsidR="00C91A22">
              <w:rPr>
                <w:noProof/>
                <w:webHidden/>
              </w:rPr>
              <w:instrText xml:space="preserve"> PAGEREF _Toc71287707 \h </w:instrText>
            </w:r>
            <w:r w:rsidR="00C91A22">
              <w:rPr>
                <w:noProof/>
                <w:webHidden/>
              </w:rPr>
            </w:r>
            <w:r w:rsidR="00C91A22">
              <w:rPr>
                <w:noProof/>
                <w:webHidden/>
              </w:rPr>
              <w:fldChar w:fldCharType="separate"/>
            </w:r>
            <w:r w:rsidR="00677C1D">
              <w:rPr>
                <w:noProof/>
                <w:webHidden/>
              </w:rPr>
              <w:t>29</w:t>
            </w:r>
            <w:r w:rsidR="00C91A22">
              <w:rPr>
                <w:noProof/>
                <w:webHidden/>
              </w:rPr>
              <w:fldChar w:fldCharType="end"/>
            </w:r>
          </w:hyperlink>
        </w:p>
        <w:p w14:paraId="2D1EE012" w14:textId="0D8A8D22" w:rsidR="00C91A22" w:rsidRDefault="000830FD" w:rsidP="000131EB">
          <w:pPr>
            <w:pStyle w:val="Inhopg1"/>
            <w:tabs>
              <w:tab w:val="right" w:leader="dot" w:pos="8495"/>
            </w:tabs>
            <w:spacing w:line="276" w:lineRule="auto"/>
            <w:rPr>
              <w:rFonts w:asciiTheme="minorHAnsi" w:eastAsiaTheme="minorEastAsia" w:hAnsiTheme="minorHAnsi"/>
              <w:noProof/>
              <w:sz w:val="22"/>
              <w:lang w:eastAsia="nl-NL"/>
            </w:rPr>
          </w:pPr>
          <w:hyperlink w:anchor="_Toc71287708" w:history="1">
            <w:r w:rsidR="00C91A22" w:rsidRPr="00767805">
              <w:rPr>
                <w:rStyle w:val="Hyperlink"/>
                <w:rFonts w:ascii="Avenir Next LT Pro Light" w:hAnsi="Avenir Next LT Pro Light"/>
                <w:noProof/>
              </w:rPr>
              <w:t>Bijlage 1. Prognose publieke laadpunten per gemeente</w:t>
            </w:r>
            <w:r w:rsidR="00C91A22">
              <w:rPr>
                <w:noProof/>
                <w:webHidden/>
              </w:rPr>
              <w:tab/>
            </w:r>
            <w:r w:rsidR="00C91A22">
              <w:rPr>
                <w:noProof/>
                <w:webHidden/>
              </w:rPr>
              <w:fldChar w:fldCharType="begin"/>
            </w:r>
            <w:r w:rsidR="00C91A22">
              <w:rPr>
                <w:noProof/>
                <w:webHidden/>
              </w:rPr>
              <w:instrText xml:space="preserve"> PAGEREF _Toc71287708 \h </w:instrText>
            </w:r>
            <w:r w:rsidR="00C91A22">
              <w:rPr>
                <w:noProof/>
                <w:webHidden/>
              </w:rPr>
            </w:r>
            <w:r w:rsidR="00C91A22">
              <w:rPr>
                <w:noProof/>
                <w:webHidden/>
              </w:rPr>
              <w:fldChar w:fldCharType="separate"/>
            </w:r>
            <w:r w:rsidR="00677C1D">
              <w:rPr>
                <w:noProof/>
                <w:webHidden/>
              </w:rPr>
              <w:t>31</w:t>
            </w:r>
            <w:r w:rsidR="00C91A22">
              <w:rPr>
                <w:noProof/>
                <w:webHidden/>
              </w:rPr>
              <w:fldChar w:fldCharType="end"/>
            </w:r>
          </w:hyperlink>
        </w:p>
        <w:p w14:paraId="1486CEB6" w14:textId="3487409A" w:rsidR="00C91A22" w:rsidRDefault="000830FD" w:rsidP="000131EB">
          <w:pPr>
            <w:pStyle w:val="Inhopg1"/>
            <w:tabs>
              <w:tab w:val="right" w:leader="dot" w:pos="8495"/>
            </w:tabs>
            <w:spacing w:line="276" w:lineRule="auto"/>
            <w:rPr>
              <w:rFonts w:asciiTheme="minorHAnsi" w:eastAsiaTheme="minorEastAsia" w:hAnsiTheme="minorHAnsi"/>
              <w:noProof/>
              <w:sz w:val="22"/>
              <w:lang w:eastAsia="nl-NL"/>
            </w:rPr>
          </w:pPr>
          <w:hyperlink w:anchor="_Toc71287709" w:history="1">
            <w:r w:rsidR="00C91A22" w:rsidRPr="00767805">
              <w:rPr>
                <w:rStyle w:val="Hyperlink"/>
                <w:rFonts w:ascii="Avenir Next LT Pro Light" w:hAnsi="Avenir Next LT Pro Light"/>
                <w:noProof/>
              </w:rPr>
              <w:t>Bijlage 2. Prognose private en semi-publieke laadpunten per gemeente</w:t>
            </w:r>
            <w:r w:rsidR="00C91A22">
              <w:rPr>
                <w:noProof/>
                <w:webHidden/>
              </w:rPr>
              <w:tab/>
            </w:r>
            <w:r w:rsidR="00C91A22">
              <w:rPr>
                <w:noProof/>
                <w:webHidden/>
              </w:rPr>
              <w:fldChar w:fldCharType="begin"/>
            </w:r>
            <w:r w:rsidR="00C91A22">
              <w:rPr>
                <w:noProof/>
                <w:webHidden/>
              </w:rPr>
              <w:instrText xml:space="preserve"> PAGEREF _Toc71287709 \h </w:instrText>
            </w:r>
            <w:r w:rsidR="00C91A22">
              <w:rPr>
                <w:noProof/>
                <w:webHidden/>
              </w:rPr>
            </w:r>
            <w:r w:rsidR="00C91A22">
              <w:rPr>
                <w:noProof/>
                <w:webHidden/>
              </w:rPr>
              <w:fldChar w:fldCharType="separate"/>
            </w:r>
            <w:r w:rsidR="00677C1D">
              <w:rPr>
                <w:noProof/>
                <w:webHidden/>
              </w:rPr>
              <w:t>32</w:t>
            </w:r>
            <w:r w:rsidR="00C91A22">
              <w:rPr>
                <w:noProof/>
                <w:webHidden/>
              </w:rPr>
              <w:fldChar w:fldCharType="end"/>
            </w:r>
          </w:hyperlink>
        </w:p>
        <w:p w14:paraId="34556114" w14:textId="12B4CA20" w:rsidR="006C1F69" w:rsidRPr="004D696F" w:rsidRDefault="006C1F69" w:rsidP="000131EB">
          <w:pPr>
            <w:spacing w:after="0" w:line="276" w:lineRule="auto"/>
            <w:rPr>
              <w:rFonts w:ascii="Avenir Next LT Pro Light" w:hAnsi="Avenir Next LT Pro Light"/>
            </w:rPr>
          </w:pPr>
          <w:r w:rsidRPr="00906544">
            <w:rPr>
              <w:rFonts w:ascii="Avenir Next LT Pro Light" w:hAnsi="Avenir Next LT Pro Light"/>
              <w:b/>
              <w:bCs/>
            </w:rPr>
            <w:fldChar w:fldCharType="end"/>
          </w:r>
        </w:p>
      </w:sdtContent>
    </w:sdt>
    <w:p w14:paraId="4A7A08B1" w14:textId="77777777" w:rsidR="004803CD" w:rsidRPr="000859B3" w:rsidRDefault="004803CD" w:rsidP="000131EB">
      <w:pPr>
        <w:pStyle w:val="Kop1"/>
        <w:spacing w:line="276" w:lineRule="auto"/>
      </w:pPr>
      <w:bookmarkStart w:id="1" w:name="_Toc71287688"/>
      <w:r w:rsidRPr="000859B3">
        <w:lastRenderedPageBreak/>
        <w:t>Inleiding</w:t>
      </w:r>
      <w:bookmarkEnd w:id="1"/>
    </w:p>
    <w:p w14:paraId="46AC52A1" w14:textId="77777777" w:rsidR="004803CD" w:rsidRPr="00A83964" w:rsidRDefault="004803CD" w:rsidP="000131EB">
      <w:pPr>
        <w:pStyle w:val="Kop2"/>
        <w:spacing w:line="276" w:lineRule="auto"/>
      </w:pPr>
      <w:bookmarkStart w:id="2" w:name="_Toc71287689"/>
      <w:r w:rsidRPr="00A83964">
        <w:t>Waarom een regionale visie laadinfrastructuur?</w:t>
      </w:r>
      <w:bookmarkEnd w:id="2"/>
    </w:p>
    <w:p w14:paraId="59B9ADD5" w14:textId="5AF37ABE" w:rsidR="004C0B35" w:rsidRPr="00A83964" w:rsidRDefault="004C0B35" w:rsidP="000131EB">
      <w:pPr>
        <w:spacing w:after="0" w:line="276" w:lineRule="auto"/>
        <w:rPr>
          <w:rFonts w:ascii="Avenir Next LT Pro Light" w:hAnsi="Avenir Next LT Pro Light"/>
        </w:rPr>
      </w:pPr>
      <w:r w:rsidRPr="00A83964">
        <w:rPr>
          <w:rFonts w:ascii="Avenir Next LT Pro Light" w:hAnsi="Avenir Next LT Pro Light"/>
          <w:b/>
          <w:bCs/>
          <w:szCs w:val="20"/>
        </w:rPr>
        <w:t>Klimaatakkoord: in 2030 alle nieuw verkochte auto’s uitstootvrij</w:t>
      </w:r>
      <w:r w:rsidRPr="00A83964">
        <w:rPr>
          <w:rFonts w:ascii="Avenir Next LT Pro Light" w:hAnsi="Avenir Next LT Pro Light"/>
          <w:b/>
          <w:bCs/>
          <w:i/>
          <w:iCs/>
          <w:szCs w:val="20"/>
        </w:rPr>
        <w:br/>
      </w:r>
      <w:r w:rsidRPr="00A83964">
        <w:rPr>
          <w:rFonts w:ascii="Avenir Next LT Pro Light" w:hAnsi="Avenir Next LT Pro Light"/>
        </w:rPr>
        <w:t xml:space="preserve">De overheid en de samenleving zijn verantwoordelijk voor het realiseren van de klimaatdoelen en het halen van de normen voor luchtkwaliteit. Elektrisch vervoer kan hier een belangrijke bijdrage aan leveren. Daarom is het kabinetsbeleid erop gericht dat alle nieuw verkochte auto’s in 2030 uitstootvrij zijn. Dit is ook waarom decentrale overheden de afgelopen jaren hebben geïnvesteerd in elektrisch vervoer en de uitrol van laadinfrastructuur. De verwachting is dat er in 2030 in Nederland bijna 2 miljoen elektrische voertuigen zijn. Om aan de laadvraag van al deze voertuigen te voldoen, zijn naar verwachting 1,7 miljoen private en (semi)publieke laadpunten nodig. </w:t>
      </w:r>
      <w:r w:rsidRPr="00A83964">
        <w:rPr>
          <w:rFonts w:ascii="Avenir Next LT Pro Light" w:hAnsi="Avenir Next LT Pro Light"/>
        </w:rPr>
        <w:br/>
      </w:r>
      <w:r w:rsidRPr="00A83964">
        <w:rPr>
          <w:rFonts w:ascii="Avenir Next LT Pro Light" w:hAnsi="Avenir Next LT Pro Light"/>
        </w:rPr>
        <w:br/>
        <w:t xml:space="preserve">Met het klimaatakkoord dat overheden en </w:t>
      </w:r>
      <w:r w:rsidR="00FF53A0">
        <w:rPr>
          <w:rFonts w:ascii="Avenir Next LT Pro Light" w:hAnsi="Avenir Next LT Pro Light"/>
        </w:rPr>
        <w:t xml:space="preserve">diverse </w:t>
      </w:r>
      <w:r w:rsidRPr="00A83964">
        <w:rPr>
          <w:rFonts w:ascii="Avenir Next LT Pro Light" w:hAnsi="Avenir Next LT Pro Light"/>
        </w:rPr>
        <w:t xml:space="preserve">marktpartijen in 2019 sloten, is afgesproken dat zij er samen </w:t>
      </w:r>
      <w:r w:rsidR="00300610">
        <w:rPr>
          <w:rFonts w:ascii="Avenir Next LT Pro Light" w:hAnsi="Avenir Next LT Pro Light"/>
        </w:rPr>
        <w:t>zorg voor dragen</w:t>
      </w:r>
      <w:r w:rsidRPr="00A83964">
        <w:rPr>
          <w:rFonts w:ascii="Avenir Next LT Pro Light" w:hAnsi="Avenir Next LT Pro Light"/>
        </w:rPr>
        <w:t xml:space="preserve"> dat er voldoende laadpunten voor het groeiend aantal elektrische voertuigen zijn. In </w:t>
      </w:r>
      <w:r w:rsidR="00BD020A">
        <w:rPr>
          <w:rFonts w:ascii="Avenir Next LT Pro Light" w:hAnsi="Avenir Next LT Pro Light"/>
        </w:rPr>
        <w:t>2020</w:t>
      </w:r>
      <w:r w:rsidR="00BD020A" w:rsidRPr="00A83964">
        <w:rPr>
          <w:rFonts w:ascii="Avenir Next LT Pro Light" w:hAnsi="Avenir Next LT Pro Light"/>
        </w:rPr>
        <w:t xml:space="preserve"> </w:t>
      </w:r>
      <w:r w:rsidRPr="00A83964">
        <w:rPr>
          <w:rFonts w:ascii="Avenir Next LT Pro Light" w:hAnsi="Avenir Next LT Pro Light"/>
        </w:rPr>
        <w:t>is</w:t>
      </w:r>
      <w:r w:rsidR="00BD020A">
        <w:rPr>
          <w:rFonts w:ascii="Avenir Next LT Pro Light" w:hAnsi="Avenir Next LT Pro Light"/>
        </w:rPr>
        <w:t xml:space="preserve"> er</w:t>
      </w:r>
      <w:r w:rsidRPr="00A83964">
        <w:rPr>
          <w:rFonts w:ascii="Avenir Next LT Pro Light" w:hAnsi="Avenir Next LT Pro Light"/>
        </w:rPr>
        <w:t xml:space="preserve"> </w:t>
      </w:r>
      <w:r w:rsidR="00BD020A">
        <w:rPr>
          <w:rFonts w:ascii="Avenir Next LT Pro Light" w:hAnsi="Avenir Next LT Pro Light"/>
        </w:rPr>
        <w:t>ondanks de Corona crisis</w:t>
      </w:r>
      <w:r w:rsidRPr="00A83964">
        <w:rPr>
          <w:rFonts w:ascii="Avenir Next LT Pro Light" w:hAnsi="Avenir Next LT Pro Light"/>
        </w:rPr>
        <w:t xml:space="preserve"> </w:t>
      </w:r>
      <w:r w:rsidR="00BD020A">
        <w:rPr>
          <w:rFonts w:ascii="Avenir Next LT Pro Light" w:hAnsi="Avenir Next LT Pro Light"/>
        </w:rPr>
        <w:t xml:space="preserve">groeiende </w:t>
      </w:r>
      <w:r w:rsidRPr="00A83964">
        <w:rPr>
          <w:rFonts w:ascii="Avenir Next LT Pro Light" w:hAnsi="Avenir Next LT Pro Light"/>
        </w:rPr>
        <w:t xml:space="preserve">vraag naar nieuwe laadpunten </w:t>
      </w:r>
      <w:r w:rsidR="00BD020A">
        <w:rPr>
          <w:rFonts w:ascii="Avenir Next LT Pro Light" w:hAnsi="Avenir Next LT Pro Light"/>
        </w:rPr>
        <w:t>geweest.</w:t>
      </w:r>
      <w:r w:rsidRPr="00A83964">
        <w:rPr>
          <w:rFonts w:ascii="Avenir Next LT Pro Light" w:hAnsi="Avenir Next LT Pro Light"/>
        </w:rPr>
        <w:t xml:space="preserve"> Om de laadvraag te faciliteren en een toekomstbestendig laadnetwerk neer te zetten, moeten we tot een brede mix van laadoplossingen komen, die efficiënt en snel geplaatst worden. Het laadnetwerk moet het elektrisch rijden toegankelijk en aantrekkelijk maken, optimaal bijdragen aan de vermindering van de CO2-uitstoot en piekbelasting van het elektriciteitsnet voorkomen.</w:t>
      </w:r>
      <w:r w:rsidR="00B41102">
        <w:rPr>
          <w:rFonts w:ascii="Avenir Next LT Pro Light" w:hAnsi="Avenir Next LT Pro Light"/>
        </w:rPr>
        <w:t xml:space="preserve"> Om dit te bereiken is het van belang dat overheden betrokken zijn en waar nodig richting geven en kaders stellen. Tegelijkertijd moet deze regie een vrije markt niet in de weg zitten.  </w:t>
      </w:r>
      <w:r w:rsidR="00A83964">
        <w:rPr>
          <w:rFonts w:ascii="Avenir Next LT Pro Light" w:hAnsi="Avenir Next LT Pro Light"/>
          <w:i/>
          <w:iCs/>
        </w:rPr>
        <w:br/>
      </w:r>
      <w:r w:rsidR="00A83964">
        <w:rPr>
          <w:rFonts w:ascii="Avenir Next LT Pro Light" w:hAnsi="Avenir Next LT Pro Light"/>
          <w:i/>
          <w:iCs/>
        </w:rPr>
        <w:br/>
      </w:r>
      <w:r w:rsidR="00A83964" w:rsidRPr="00A83964">
        <w:rPr>
          <w:rFonts w:ascii="Avenir Next LT Pro Light" w:hAnsi="Avenir Next LT Pro Light"/>
        </w:rPr>
        <w:t xml:space="preserve">Het </w:t>
      </w:r>
      <w:r w:rsidR="00B41102">
        <w:rPr>
          <w:rFonts w:ascii="Avenir Next LT Pro Light" w:hAnsi="Avenir Next LT Pro Light"/>
        </w:rPr>
        <w:t>vraagstuk omvat</w:t>
      </w:r>
      <w:r w:rsidR="00A83964" w:rsidRPr="00A83964">
        <w:rPr>
          <w:rFonts w:ascii="Avenir Next LT Pro Light" w:hAnsi="Avenir Next LT Pro Light"/>
        </w:rPr>
        <w:t xml:space="preserve"> elektrische voertuigen in brede zin, de opgave is dus breder dan personenvervoer. Er zal ook een toename komen van het aantal elektrische bussen, doelgroepenvervoer, bestelauto’s, trucks, binnenvaartschepen, mobiele werktuigen en </w:t>
      </w:r>
      <w:r w:rsidR="00300610">
        <w:rPr>
          <w:rFonts w:ascii="Avenir Next LT Pro Light" w:hAnsi="Avenir Next LT Pro Light"/>
        </w:rPr>
        <w:t>L</w:t>
      </w:r>
      <w:r w:rsidR="00A83964" w:rsidRPr="00A83964">
        <w:rPr>
          <w:rFonts w:ascii="Avenir Next LT Pro Light" w:hAnsi="Avenir Next LT Pro Light"/>
        </w:rPr>
        <w:t>ight</w:t>
      </w:r>
      <w:r w:rsidR="00300610">
        <w:rPr>
          <w:rFonts w:ascii="Avenir Next LT Pro Light" w:hAnsi="Avenir Next LT Pro Light"/>
        </w:rPr>
        <w:t xml:space="preserve"> E</w:t>
      </w:r>
      <w:r w:rsidR="00A83964" w:rsidRPr="00A83964">
        <w:rPr>
          <w:rFonts w:ascii="Avenir Next LT Pro Light" w:hAnsi="Avenir Next LT Pro Light"/>
        </w:rPr>
        <w:t xml:space="preserve">lectric </w:t>
      </w:r>
      <w:r w:rsidR="00300610">
        <w:rPr>
          <w:rFonts w:ascii="Avenir Next LT Pro Light" w:hAnsi="Avenir Next LT Pro Light"/>
        </w:rPr>
        <w:t>V</w:t>
      </w:r>
      <w:r w:rsidR="00A83964" w:rsidRPr="00A83964">
        <w:rPr>
          <w:rFonts w:ascii="Avenir Next LT Pro Light" w:hAnsi="Avenir Next LT Pro Light"/>
        </w:rPr>
        <w:t>ehicles (LEV’s). Voor deze brede verzameling aan elektrische voertuigen moet een toekomstbestendig laadnetwerk worden ontwikkeld.</w:t>
      </w:r>
      <w:r w:rsidR="00A83964" w:rsidRPr="00A83964">
        <w:rPr>
          <w:rFonts w:ascii="Avenir Next LT Pro Light" w:hAnsi="Avenir Next LT Pro Light"/>
          <w:i/>
          <w:iCs/>
        </w:rPr>
        <w:t xml:space="preserve">  </w:t>
      </w:r>
      <w:r w:rsidR="00B008F4" w:rsidRPr="00A83964">
        <w:rPr>
          <w:rFonts w:ascii="Avenir Next LT Pro Light" w:hAnsi="Avenir Next LT Pro Light"/>
          <w:i/>
          <w:iCs/>
        </w:rPr>
        <w:br/>
      </w:r>
      <w:r w:rsidR="00B008F4" w:rsidRPr="00A83964">
        <w:rPr>
          <w:rFonts w:ascii="Avenir Next LT Pro Light" w:hAnsi="Avenir Next LT Pro Light"/>
          <w:i/>
          <w:iCs/>
        </w:rPr>
        <w:br/>
      </w:r>
      <w:r w:rsidRPr="00A83964">
        <w:rPr>
          <w:rFonts w:ascii="Avenir Next LT Pro Light" w:hAnsi="Avenir Next LT Pro Light"/>
          <w:b/>
          <w:bCs/>
          <w:szCs w:val="20"/>
        </w:rPr>
        <w:t>Nationale Agenda Laadinfrastructuur</w:t>
      </w:r>
      <w:r w:rsidRPr="00A83964">
        <w:rPr>
          <w:rFonts w:ascii="Avenir Next LT Pro Light" w:hAnsi="Avenir Next LT Pro Light"/>
        </w:rPr>
        <w:br/>
      </w:r>
      <w:r w:rsidR="00A83964" w:rsidRPr="00A83964">
        <w:rPr>
          <w:rFonts w:ascii="Avenir Next LT Pro Light" w:hAnsi="Avenir Next LT Pro Light"/>
        </w:rPr>
        <w:t xml:space="preserve">De Nationale Agenda Laadinfrastructuur (NAL) is een integraal onderdeel van het Klimaatakkoord en omvat een breed gedragen meerjarige beleidsagenda met de ambities en acties voor laadinfrastructuur in Nederland. Met de NAL wordt door vijf werkgroepen (zie afbeelding) gewerkt aan het verder brengen van inhoudelijke thema’s om uiteindelijk tot een dekkend, toegankelijk </w:t>
      </w:r>
      <w:r w:rsidR="00947A0C">
        <w:rPr>
          <w:rFonts w:ascii="Avenir Next LT Pro Light" w:hAnsi="Avenir Next LT Pro Light"/>
        </w:rPr>
        <w:t>en</w:t>
      </w:r>
      <w:r w:rsidR="00A83964" w:rsidRPr="00A83964">
        <w:rPr>
          <w:rFonts w:ascii="Avenir Next LT Pro Light" w:hAnsi="Avenir Next LT Pro Light"/>
        </w:rPr>
        <w:t xml:space="preserve"> aantrekkelijk laadnetwerk te komen.</w:t>
      </w:r>
    </w:p>
    <w:p w14:paraId="434EA0B1" w14:textId="77777777" w:rsidR="001C40D4" w:rsidRDefault="001C40D4" w:rsidP="000131EB">
      <w:pPr>
        <w:spacing w:after="0" w:line="276" w:lineRule="auto"/>
        <w:rPr>
          <w:rFonts w:ascii="Avenir Next LT Pro Light" w:hAnsi="Avenir Next LT Pro Light"/>
        </w:rPr>
      </w:pPr>
    </w:p>
    <w:p w14:paraId="1BA3EBBA" w14:textId="77777777" w:rsidR="000131EB" w:rsidRDefault="00A83964" w:rsidP="000131EB">
      <w:pPr>
        <w:spacing w:after="0" w:line="276" w:lineRule="auto"/>
        <w:rPr>
          <w:rFonts w:ascii="Avenir Next LT Pro Light" w:hAnsi="Avenir Next LT Pro Light"/>
        </w:rPr>
      </w:pPr>
      <w:r w:rsidRPr="00A83964">
        <w:rPr>
          <w:rFonts w:ascii="Avenir Next LT Pro Light" w:hAnsi="Avenir Next LT Pro Light"/>
        </w:rPr>
        <w:t xml:space="preserve">Voor het realiseren van de laadinfrastructuur is in het kader van de NAL een regionale aanpak overeengekomen. Er zijn zes samenwerkingsregio’s gevormd waarvan de NAL-regio Noordwest </w:t>
      </w:r>
      <w:r>
        <w:rPr>
          <w:rFonts w:ascii="Avenir Next LT Pro Light" w:hAnsi="Avenir Next LT Pro Light"/>
        </w:rPr>
        <w:t xml:space="preserve">(regio MRA-E) </w:t>
      </w:r>
      <w:r w:rsidRPr="00A83964">
        <w:rPr>
          <w:rFonts w:ascii="Avenir Next LT Pro Light" w:hAnsi="Avenir Next LT Pro Light"/>
        </w:rPr>
        <w:t>er een is. Op dit moment is het tempo onvoldoende en is een versnelling nodig om de verwachte ontwikkeling van het aantal elektrische auto’s te kunnen faciliteren. Om de groei van het elektrisch rijden bij te houden, moeten er in de drie provincies vanaf 202</w:t>
      </w:r>
      <w:r w:rsidR="00750B33">
        <w:rPr>
          <w:rFonts w:ascii="Avenir Next LT Pro Light" w:hAnsi="Avenir Next LT Pro Light"/>
        </w:rPr>
        <w:t>1</w:t>
      </w:r>
      <w:r w:rsidRPr="00A83964">
        <w:rPr>
          <w:rFonts w:ascii="Avenir Next LT Pro Light" w:hAnsi="Avenir Next LT Pro Light"/>
        </w:rPr>
        <w:t xml:space="preserve"> elk jaar </w:t>
      </w:r>
      <w:r w:rsidR="00750B33">
        <w:rPr>
          <w:rFonts w:ascii="Avenir Next LT Pro Light" w:hAnsi="Avenir Next LT Pro Light"/>
        </w:rPr>
        <w:t>ongeveer 9</w:t>
      </w:r>
      <w:r w:rsidRPr="00A83964">
        <w:rPr>
          <w:rFonts w:ascii="Avenir Next LT Pro Light" w:hAnsi="Avenir Next LT Pro Light"/>
        </w:rPr>
        <w:t xml:space="preserve">00 </w:t>
      </w:r>
      <w:r w:rsidR="00DC6D96">
        <w:rPr>
          <w:rFonts w:ascii="Avenir Next LT Pro Light" w:hAnsi="Avenir Next LT Pro Light"/>
        </w:rPr>
        <w:t xml:space="preserve">publieke </w:t>
      </w:r>
      <w:r w:rsidRPr="00A83964">
        <w:rPr>
          <w:rFonts w:ascii="Avenir Next LT Pro Light" w:hAnsi="Avenir Next LT Pro Light"/>
        </w:rPr>
        <w:t>laadp</w:t>
      </w:r>
      <w:r w:rsidR="00750B33">
        <w:rPr>
          <w:rFonts w:ascii="Avenir Next LT Pro Light" w:hAnsi="Avenir Next LT Pro Light"/>
        </w:rPr>
        <w:t>unten</w:t>
      </w:r>
      <w:r w:rsidRPr="00A83964">
        <w:rPr>
          <w:rFonts w:ascii="Avenir Next LT Pro Light" w:hAnsi="Avenir Next LT Pro Light"/>
        </w:rPr>
        <w:t xml:space="preserve"> méér worden geplaatst dan het jaar ervoor, zo is de verwachting. Dit betekent dat er ‘tempo’ gemaakt moet worden en hier is een strakke coördinatie en organisatie voor nodig.</w:t>
      </w:r>
      <w:r w:rsidR="00C84F65">
        <w:rPr>
          <w:rFonts w:ascii="Avenir Next LT Pro Light" w:hAnsi="Avenir Next LT Pro Light"/>
        </w:rPr>
        <w:t xml:space="preserve"> </w:t>
      </w:r>
      <w:r w:rsidR="00B41102">
        <w:rPr>
          <w:rFonts w:ascii="Avenir Next LT Pro Light" w:hAnsi="Avenir Next LT Pro Light"/>
        </w:rPr>
        <w:t xml:space="preserve">Voor publieke laadpalen gaat dit al goed. </w:t>
      </w:r>
      <w:r w:rsidR="00F95981">
        <w:rPr>
          <w:rFonts w:ascii="Avenir Next LT Pro Light" w:hAnsi="Avenir Next LT Pro Light"/>
        </w:rPr>
        <w:t>Extra aandacht is nodig voor privaat-, semi-publiek- en snelladen.</w:t>
      </w:r>
    </w:p>
    <w:p w14:paraId="3A7777C0" w14:textId="37A6F8CF" w:rsidR="00A83964" w:rsidRPr="00A83964" w:rsidRDefault="00F95981" w:rsidP="000131EB">
      <w:pPr>
        <w:spacing w:after="0" w:line="276" w:lineRule="auto"/>
        <w:rPr>
          <w:rFonts w:ascii="Avenir Next LT Pro Light" w:hAnsi="Avenir Next LT Pro Light"/>
        </w:rPr>
      </w:pPr>
      <w:r>
        <w:rPr>
          <w:rFonts w:ascii="Avenir Next LT Pro Light" w:hAnsi="Avenir Next LT Pro Light"/>
        </w:rPr>
        <w:t xml:space="preserve"> </w:t>
      </w:r>
    </w:p>
    <w:p w14:paraId="1439C53D" w14:textId="77777777" w:rsidR="009F7E51" w:rsidRPr="00A83964" w:rsidRDefault="00861CF5" w:rsidP="000131EB">
      <w:pPr>
        <w:keepNext/>
        <w:spacing w:after="0" w:line="276" w:lineRule="auto"/>
        <w:rPr>
          <w:rFonts w:ascii="Avenir Next LT Pro Light" w:hAnsi="Avenir Next LT Pro Light"/>
        </w:rPr>
      </w:pPr>
      <w:r w:rsidRPr="00A83964">
        <w:rPr>
          <w:rFonts w:ascii="Avenir Next LT Pro Light" w:hAnsi="Avenir Next LT Pro Light"/>
          <w:noProof/>
          <w:lang w:eastAsia="nl-NL"/>
        </w:rPr>
        <w:lastRenderedPageBreak/>
        <w:drawing>
          <wp:inline distT="0" distB="0" distL="0" distR="0" wp14:anchorId="6F802497" wp14:editId="22089A03">
            <wp:extent cx="2615490" cy="3200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9365" cy="3205141"/>
                    </a:xfrm>
                    <a:prstGeom prst="rect">
                      <a:avLst/>
                    </a:prstGeom>
                  </pic:spPr>
                </pic:pic>
              </a:graphicData>
            </a:graphic>
          </wp:inline>
        </w:drawing>
      </w:r>
    </w:p>
    <w:p w14:paraId="07506964" w14:textId="0EACB63B" w:rsidR="00766427" w:rsidRPr="00C73AAD" w:rsidRDefault="009F7E51" w:rsidP="000131EB">
      <w:pPr>
        <w:pStyle w:val="Bijschrift"/>
        <w:spacing w:after="0" w:line="276" w:lineRule="auto"/>
        <w:rPr>
          <w:rFonts w:ascii="Avenir Next LT Pro Light" w:hAnsi="Avenir Next LT Pro Light"/>
        </w:rPr>
      </w:pPr>
      <w:r w:rsidRPr="00A83964">
        <w:rPr>
          <w:rFonts w:ascii="Avenir Next LT Pro Light" w:hAnsi="Avenir Next LT Pro Light"/>
        </w:rPr>
        <w:t xml:space="preserve">Figuur </w:t>
      </w:r>
      <w:r w:rsidR="00EC20DF">
        <w:rPr>
          <w:rFonts w:ascii="Avenir Next LT Pro Light" w:hAnsi="Avenir Next LT Pro Light"/>
        </w:rPr>
        <w:fldChar w:fldCharType="begin"/>
      </w:r>
      <w:r w:rsidR="00EC20DF">
        <w:rPr>
          <w:rFonts w:ascii="Avenir Next LT Pro Light" w:hAnsi="Avenir Next LT Pro Light"/>
        </w:rPr>
        <w:instrText xml:space="preserve"> STYLEREF 1 \s </w:instrText>
      </w:r>
      <w:r w:rsidR="00EC20DF">
        <w:rPr>
          <w:rFonts w:ascii="Avenir Next LT Pro Light" w:hAnsi="Avenir Next LT Pro Light"/>
        </w:rPr>
        <w:fldChar w:fldCharType="separate"/>
      </w:r>
      <w:r w:rsidR="00677C1D">
        <w:rPr>
          <w:rFonts w:ascii="Avenir Next LT Pro Light" w:hAnsi="Avenir Next LT Pro Light"/>
          <w:noProof/>
        </w:rPr>
        <w:t>1</w:t>
      </w:r>
      <w:r w:rsidR="00EC20DF">
        <w:rPr>
          <w:rFonts w:ascii="Avenir Next LT Pro Light" w:hAnsi="Avenir Next LT Pro Light"/>
        </w:rPr>
        <w:fldChar w:fldCharType="end"/>
      </w:r>
      <w:r w:rsidR="00EC20DF">
        <w:rPr>
          <w:rFonts w:ascii="Avenir Next LT Pro Light" w:hAnsi="Avenir Next LT Pro Light"/>
        </w:rPr>
        <w:noBreakHyphen/>
      </w:r>
      <w:r w:rsidR="00EC20DF">
        <w:rPr>
          <w:rFonts w:ascii="Avenir Next LT Pro Light" w:hAnsi="Avenir Next LT Pro Light"/>
        </w:rPr>
        <w:fldChar w:fldCharType="begin"/>
      </w:r>
      <w:r w:rsidR="00EC20DF">
        <w:rPr>
          <w:rFonts w:ascii="Avenir Next LT Pro Light" w:hAnsi="Avenir Next LT Pro Light"/>
        </w:rPr>
        <w:instrText xml:space="preserve"> SEQ Figuur \* ARABIC \s 1 </w:instrText>
      </w:r>
      <w:r w:rsidR="00EC20DF">
        <w:rPr>
          <w:rFonts w:ascii="Avenir Next LT Pro Light" w:hAnsi="Avenir Next LT Pro Light"/>
        </w:rPr>
        <w:fldChar w:fldCharType="separate"/>
      </w:r>
      <w:r w:rsidR="00677C1D">
        <w:rPr>
          <w:rFonts w:ascii="Avenir Next LT Pro Light" w:hAnsi="Avenir Next LT Pro Light"/>
          <w:noProof/>
        </w:rPr>
        <w:t>2</w:t>
      </w:r>
      <w:r w:rsidR="00EC20DF">
        <w:rPr>
          <w:rFonts w:ascii="Avenir Next LT Pro Light" w:hAnsi="Avenir Next LT Pro Light"/>
        </w:rPr>
        <w:fldChar w:fldCharType="end"/>
      </w:r>
      <w:r w:rsidRPr="00A83964">
        <w:rPr>
          <w:rFonts w:ascii="Avenir Next LT Pro Light" w:hAnsi="Avenir Next LT Pro Light"/>
        </w:rPr>
        <w:t xml:space="preserve"> Regio-indeling Nationale Agenda Laadinfrastructuur (NAL)</w:t>
      </w:r>
    </w:p>
    <w:p w14:paraId="32E7C598" w14:textId="77777777" w:rsidR="004803CD" w:rsidRPr="000859B3" w:rsidRDefault="004803CD" w:rsidP="000131EB">
      <w:pPr>
        <w:pStyle w:val="Kop2"/>
        <w:spacing w:line="276" w:lineRule="auto"/>
      </w:pPr>
      <w:bookmarkStart w:id="3" w:name="_Toc71287690"/>
      <w:r w:rsidRPr="000859B3">
        <w:t>Voor wie is deze visie bedoeld?</w:t>
      </w:r>
      <w:bookmarkEnd w:id="3"/>
    </w:p>
    <w:p w14:paraId="00942EC4" w14:textId="3DBF4E26" w:rsidR="000859B3" w:rsidRDefault="004C0B35" w:rsidP="000131EB">
      <w:pPr>
        <w:spacing w:after="0" w:line="276" w:lineRule="auto"/>
        <w:rPr>
          <w:rFonts w:ascii="Avenir Next LT Pro Light" w:hAnsi="Avenir Next LT Pro Light"/>
        </w:rPr>
      </w:pPr>
      <w:r w:rsidRPr="00A83964">
        <w:rPr>
          <w:rFonts w:ascii="Avenir Next LT Pro Light" w:hAnsi="Avenir Next LT Pro Light"/>
        </w:rPr>
        <w:t>Samen met de regio staan de gemeenten aan de lat om te zorgen voor voldoende laadinfrastructuur op eigen grondgebied. Binnen de NAL hebben regio</w:t>
      </w:r>
      <w:r w:rsidR="00300610">
        <w:rPr>
          <w:rFonts w:ascii="Avenir Next LT Pro Light" w:hAnsi="Avenir Next LT Pro Light"/>
        </w:rPr>
        <w:t>’</w:t>
      </w:r>
      <w:r w:rsidRPr="00A83964">
        <w:rPr>
          <w:rFonts w:ascii="Avenir Next LT Pro Light" w:hAnsi="Avenir Next LT Pro Light"/>
        </w:rPr>
        <w:t>s en</w:t>
      </w:r>
      <w:r w:rsidR="00300610">
        <w:rPr>
          <w:rFonts w:ascii="Avenir Next LT Pro Light" w:hAnsi="Avenir Next LT Pro Light"/>
        </w:rPr>
        <w:t xml:space="preserve"> </w:t>
      </w:r>
      <w:r w:rsidRPr="00A83964">
        <w:rPr>
          <w:rFonts w:ascii="Avenir Next LT Pro Light" w:hAnsi="Avenir Next LT Pro Light"/>
        </w:rPr>
        <w:t>gemeenten daarom de opdracht gekregen om een integrale laadvisie en plaatsingsbeleid voor laadinfras</w:t>
      </w:r>
      <w:r w:rsidR="00E81A5B" w:rsidRPr="00A83964">
        <w:rPr>
          <w:rFonts w:ascii="Avenir Next LT Pro Light" w:hAnsi="Avenir Next LT Pro Light"/>
        </w:rPr>
        <w:t>tr</w:t>
      </w:r>
      <w:r w:rsidRPr="00A83964">
        <w:rPr>
          <w:rFonts w:ascii="Avenir Next LT Pro Light" w:hAnsi="Avenir Next LT Pro Light"/>
        </w:rPr>
        <w:t xml:space="preserve">uctuur op te stellen. In de visie wordt voor de verschillende vormen van laden ((semi-)publiek, privaat, snel) </w:t>
      </w:r>
      <w:r w:rsidR="00300610">
        <w:rPr>
          <w:rFonts w:ascii="Avenir Next LT Pro Light" w:hAnsi="Avenir Next LT Pro Light"/>
        </w:rPr>
        <w:t>en voor</w:t>
      </w:r>
      <w:r w:rsidRPr="00A83964">
        <w:rPr>
          <w:rFonts w:ascii="Avenir Next LT Pro Light" w:hAnsi="Avenir Next LT Pro Light"/>
        </w:rPr>
        <w:t xml:space="preserve"> de verschillende doelgroepen</w:t>
      </w:r>
      <w:r w:rsidR="00300610">
        <w:rPr>
          <w:rFonts w:ascii="Avenir Next LT Pro Light" w:hAnsi="Avenir Next LT Pro Light"/>
        </w:rPr>
        <w:t xml:space="preserve"> van laadinfrastructuur</w:t>
      </w:r>
      <w:r w:rsidRPr="00A83964">
        <w:rPr>
          <w:rFonts w:ascii="Avenir Next LT Pro Light" w:hAnsi="Avenir Next LT Pro Light"/>
        </w:rPr>
        <w:t xml:space="preserve"> beschreven wat de </w:t>
      </w:r>
      <w:r w:rsidR="00A83964">
        <w:rPr>
          <w:rFonts w:ascii="Avenir Next LT Pro Light" w:hAnsi="Avenir Next LT Pro Light"/>
        </w:rPr>
        <w:t>opgave is en welke rol gemeente</w:t>
      </w:r>
      <w:r w:rsidR="006A685A">
        <w:rPr>
          <w:rFonts w:ascii="Avenir Next LT Pro Light" w:hAnsi="Avenir Next LT Pro Light"/>
        </w:rPr>
        <w:t>n</w:t>
      </w:r>
      <w:r w:rsidR="00A83964">
        <w:rPr>
          <w:rFonts w:ascii="Avenir Next LT Pro Light" w:hAnsi="Avenir Next LT Pro Light"/>
        </w:rPr>
        <w:t xml:space="preserve"> en MRA-E daarin k</w:t>
      </w:r>
      <w:r w:rsidR="006A685A">
        <w:rPr>
          <w:rFonts w:ascii="Avenir Next LT Pro Light" w:hAnsi="Avenir Next LT Pro Light"/>
        </w:rPr>
        <w:t>unnen</w:t>
      </w:r>
      <w:r w:rsidR="00A83964">
        <w:rPr>
          <w:rFonts w:ascii="Avenir Next LT Pro Light" w:hAnsi="Avenir Next LT Pro Light"/>
        </w:rPr>
        <w:t xml:space="preserve"> spelen</w:t>
      </w:r>
      <w:r w:rsidRPr="00A83964">
        <w:rPr>
          <w:rFonts w:ascii="Avenir Next LT Pro Light" w:hAnsi="Avenir Next LT Pro Light"/>
        </w:rPr>
        <w:t xml:space="preserve">. </w:t>
      </w:r>
      <w:r w:rsidR="00861CF5" w:rsidRPr="00A83964">
        <w:rPr>
          <w:rFonts w:ascii="Avenir Next LT Pro Light" w:hAnsi="Avenir Next LT Pro Light"/>
        </w:rPr>
        <w:t xml:space="preserve">Deze regionale visie heeft als doel gemeenten te ondersteunen </w:t>
      </w:r>
      <w:r w:rsidR="002503AB">
        <w:rPr>
          <w:rFonts w:ascii="Avenir Next LT Pro Light" w:hAnsi="Avenir Next LT Pro Light"/>
        </w:rPr>
        <w:t>met het ontwikkelen van beleid</w:t>
      </w:r>
      <w:r w:rsidR="00E833B7">
        <w:rPr>
          <w:rFonts w:ascii="Avenir Next LT Pro Light" w:hAnsi="Avenir Next LT Pro Light"/>
        </w:rPr>
        <w:t xml:space="preserve"> voor de ontwikkeling van</w:t>
      </w:r>
      <w:r w:rsidR="00861CF5" w:rsidRPr="00A83964">
        <w:rPr>
          <w:rFonts w:ascii="Avenir Next LT Pro Light" w:hAnsi="Avenir Next LT Pro Light"/>
        </w:rPr>
        <w:t xml:space="preserve"> laadinfrastructuur.</w:t>
      </w:r>
      <w:r w:rsidR="003E40BD" w:rsidRPr="00A83964">
        <w:rPr>
          <w:rFonts w:ascii="Avenir Next LT Pro Light" w:hAnsi="Avenir Next LT Pro Light"/>
        </w:rPr>
        <w:t xml:space="preserve"> Voorliggende visie geeft inzicht in de opgave die er in onze regio ligt en hoe we die met elkaar kunnen </w:t>
      </w:r>
      <w:r w:rsidR="007920ED">
        <w:rPr>
          <w:rFonts w:ascii="Avenir Next LT Pro Light" w:hAnsi="Avenir Next LT Pro Light"/>
        </w:rPr>
        <w:t>aan</w:t>
      </w:r>
      <w:r w:rsidR="003E40BD" w:rsidRPr="00A83964">
        <w:rPr>
          <w:rFonts w:ascii="Avenir Next LT Pro Light" w:hAnsi="Avenir Next LT Pro Light"/>
        </w:rPr>
        <w:t>pakken.</w:t>
      </w:r>
      <w:r w:rsidR="003203C4">
        <w:rPr>
          <w:rFonts w:ascii="Avenir Next LT Pro Light" w:hAnsi="Avenir Next LT Pro Light"/>
        </w:rPr>
        <w:t xml:space="preserve"> Daarbij is </w:t>
      </w:r>
      <w:r w:rsidR="005A31FC">
        <w:rPr>
          <w:rFonts w:ascii="Avenir Next LT Pro Light" w:hAnsi="Avenir Next LT Pro Light"/>
        </w:rPr>
        <w:t xml:space="preserve">het belangrijk </w:t>
      </w:r>
      <w:r w:rsidR="005A31FC" w:rsidRPr="005A31FC">
        <w:rPr>
          <w:rFonts w:ascii="Avenir Next LT Pro Light" w:hAnsi="Avenir Next LT Pro Light"/>
        </w:rPr>
        <w:t xml:space="preserve">dat </w:t>
      </w:r>
      <w:r w:rsidR="005A31FC">
        <w:rPr>
          <w:rFonts w:ascii="Avenir Next LT Pro Light" w:hAnsi="Avenir Next LT Pro Light"/>
        </w:rPr>
        <w:t>overheden zijn</w:t>
      </w:r>
      <w:r w:rsidR="005A31FC" w:rsidRPr="005A31FC">
        <w:rPr>
          <w:rFonts w:ascii="Avenir Next LT Pro Light" w:hAnsi="Avenir Next LT Pro Light"/>
        </w:rPr>
        <w:t xml:space="preserve"> aangehaakt en waar nodig richting ge</w:t>
      </w:r>
      <w:r w:rsidR="005A31FC">
        <w:rPr>
          <w:rFonts w:ascii="Avenir Next LT Pro Light" w:hAnsi="Avenir Next LT Pro Light"/>
        </w:rPr>
        <w:t xml:space="preserve">ven. </w:t>
      </w:r>
      <w:r w:rsidR="00752876">
        <w:rPr>
          <w:rFonts w:ascii="Avenir Next LT Pro Light" w:hAnsi="Avenir Next LT Pro Light"/>
        </w:rPr>
        <w:t xml:space="preserve">Deze visie moet gezien worden als een hulpmiddel. Uiteindelijk is het gemeentelijk beleid </w:t>
      </w:r>
      <w:r w:rsidR="00D0532C">
        <w:rPr>
          <w:rFonts w:ascii="Avenir Next LT Pro Light" w:hAnsi="Avenir Next LT Pro Light"/>
        </w:rPr>
        <w:t xml:space="preserve">bepalend voor de ontwikkeling van laadinfrastructuur. </w:t>
      </w:r>
      <w:r w:rsidR="007315A7">
        <w:rPr>
          <w:rFonts w:ascii="Avenir Next LT Pro Light" w:hAnsi="Avenir Next LT Pro Light"/>
        </w:rPr>
        <w:br/>
      </w:r>
      <w:r w:rsidR="007315A7">
        <w:rPr>
          <w:rFonts w:ascii="Avenir Next LT Pro Light" w:hAnsi="Avenir Next LT Pro Light"/>
        </w:rPr>
        <w:br/>
      </w:r>
      <w:r w:rsidR="00E81A5B" w:rsidRPr="00A83964">
        <w:rPr>
          <w:rFonts w:ascii="Avenir Next LT Pro Light" w:hAnsi="Avenir Next LT Pro Light"/>
        </w:rPr>
        <w:t xml:space="preserve">Dit document kan door gemeenten op verschillende manieren gebruikt worden: </w:t>
      </w:r>
    </w:p>
    <w:p w14:paraId="4FD2C0D0" w14:textId="0A0ED770" w:rsidR="000859B3" w:rsidRPr="000859B3" w:rsidRDefault="00E81A5B" w:rsidP="000131EB">
      <w:pPr>
        <w:pStyle w:val="Lijstalinea"/>
        <w:numPr>
          <w:ilvl w:val="0"/>
          <w:numId w:val="39"/>
        </w:numPr>
        <w:spacing w:line="276" w:lineRule="auto"/>
        <w:rPr>
          <w:rFonts w:ascii="Avenir Next LT Pro Light" w:hAnsi="Avenir Next LT Pro Light"/>
          <w:b/>
          <w:bCs/>
        </w:rPr>
      </w:pPr>
      <w:r w:rsidRPr="000859B3">
        <w:rPr>
          <w:rFonts w:ascii="Avenir Next LT Pro Light" w:hAnsi="Avenir Next LT Pro Light"/>
        </w:rPr>
        <w:t xml:space="preserve">Gemeenten kunnen de visie </w:t>
      </w:r>
      <w:r w:rsidR="00F34B5D">
        <w:rPr>
          <w:rFonts w:ascii="Avenir Next LT Pro Light" w:hAnsi="Avenir Next LT Pro Light"/>
        </w:rPr>
        <w:t xml:space="preserve">onderschrijven </w:t>
      </w:r>
      <w:r w:rsidRPr="000859B3">
        <w:rPr>
          <w:rFonts w:ascii="Avenir Next LT Pro Light" w:hAnsi="Avenir Next LT Pro Light"/>
        </w:rPr>
        <w:t>en de inhoud van dit document door het college laten goedkeuren.</w:t>
      </w:r>
    </w:p>
    <w:p w14:paraId="633BBA76" w14:textId="5D6577C4" w:rsidR="000859B3" w:rsidRPr="000859B3" w:rsidRDefault="00E81A5B" w:rsidP="000131EB">
      <w:pPr>
        <w:pStyle w:val="Lijstalinea"/>
        <w:numPr>
          <w:ilvl w:val="0"/>
          <w:numId w:val="39"/>
        </w:numPr>
        <w:spacing w:line="276" w:lineRule="auto"/>
        <w:rPr>
          <w:rFonts w:ascii="Avenir Next LT Pro Light" w:hAnsi="Avenir Next LT Pro Light"/>
          <w:b/>
          <w:bCs/>
        </w:rPr>
      </w:pPr>
      <w:r w:rsidRPr="000859B3">
        <w:rPr>
          <w:rFonts w:ascii="Avenir Next LT Pro Light" w:hAnsi="Avenir Next LT Pro Light"/>
        </w:rPr>
        <w:t xml:space="preserve">Gemeenten kunnen ervoor kiezen om </w:t>
      </w:r>
      <w:r w:rsidR="00F34B5D">
        <w:rPr>
          <w:rFonts w:ascii="Avenir Next LT Pro Light" w:hAnsi="Avenir Next LT Pro Light"/>
        </w:rPr>
        <w:t xml:space="preserve">in te stemmen met </w:t>
      </w:r>
      <w:r w:rsidRPr="000859B3">
        <w:rPr>
          <w:rFonts w:ascii="Avenir Next LT Pro Light" w:hAnsi="Avenir Next LT Pro Light"/>
        </w:rPr>
        <w:t xml:space="preserve"> bepaalde onderdelen van de visie en die onderdelen door het college te laten goedkeuren. Voor de overige onderdelen maken</w:t>
      </w:r>
      <w:r w:rsidR="00BD020A">
        <w:rPr>
          <w:rFonts w:ascii="Avenir Next LT Pro Light" w:hAnsi="Avenir Next LT Pro Light"/>
        </w:rPr>
        <w:t xml:space="preserve"> of </w:t>
      </w:r>
      <w:r w:rsidRPr="000859B3">
        <w:rPr>
          <w:rFonts w:ascii="Avenir Next LT Pro Light" w:hAnsi="Avenir Next LT Pro Light"/>
        </w:rPr>
        <w:t xml:space="preserve">hebben zij een eigen visie. </w:t>
      </w:r>
    </w:p>
    <w:p w14:paraId="056D3070" w14:textId="27740CBB" w:rsidR="004803CD" w:rsidRPr="000859B3" w:rsidRDefault="00E81A5B" w:rsidP="000131EB">
      <w:pPr>
        <w:pStyle w:val="Lijstalinea"/>
        <w:numPr>
          <w:ilvl w:val="0"/>
          <w:numId w:val="39"/>
        </w:numPr>
        <w:spacing w:line="276" w:lineRule="auto"/>
        <w:rPr>
          <w:rFonts w:ascii="Avenir Next LT Pro Light" w:hAnsi="Avenir Next LT Pro Light"/>
          <w:b/>
          <w:bCs/>
        </w:rPr>
      </w:pPr>
      <w:r w:rsidRPr="000859B3">
        <w:rPr>
          <w:rFonts w:ascii="Avenir Next LT Pro Light" w:hAnsi="Avenir Next LT Pro Light"/>
        </w:rPr>
        <w:t xml:space="preserve">Gemeenten gebruiken dit document als </w:t>
      </w:r>
      <w:r w:rsidR="00CD52E3">
        <w:rPr>
          <w:rFonts w:ascii="Avenir Next LT Pro Light" w:hAnsi="Avenir Next LT Pro Light"/>
        </w:rPr>
        <w:t>basis</w:t>
      </w:r>
      <w:r w:rsidRPr="000859B3">
        <w:rPr>
          <w:rFonts w:ascii="Avenir Next LT Pro Light" w:hAnsi="Avenir Next LT Pro Light"/>
        </w:rPr>
        <w:t xml:space="preserve"> voor hun eigen visie. Algemene teksten </w:t>
      </w:r>
      <w:r w:rsidR="00D77852">
        <w:rPr>
          <w:rFonts w:ascii="Avenir Next LT Pro Light" w:hAnsi="Avenir Next LT Pro Light"/>
        </w:rPr>
        <w:t>mogen direct</w:t>
      </w:r>
      <w:r w:rsidRPr="000859B3">
        <w:rPr>
          <w:rFonts w:ascii="Avenir Next LT Pro Light" w:hAnsi="Avenir Next LT Pro Light"/>
        </w:rPr>
        <w:t xml:space="preserve"> overgenomen worden, maar gemeenten vullen de onderdelen van de visie naar eigen inzicht in.   </w:t>
      </w:r>
    </w:p>
    <w:p w14:paraId="48E7FDEC" w14:textId="77777777" w:rsidR="004803CD" w:rsidRPr="000859B3" w:rsidRDefault="004803CD" w:rsidP="000131EB">
      <w:pPr>
        <w:pStyle w:val="Kop2"/>
        <w:spacing w:line="276" w:lineRule="auto"/>
      </w:pPr>
      <w:bookmarkStart w:id="4" w:name="_Toc71287691"/>
      <w:r w:rsidRPr="000859B3">
        <w:lastRenderedPageBreak/>
        <w:t>Organisatie MRA-E</w:t>
      </w:r>
      <w:bookmarkEnd w:id="4"/>
    </w:p>
    <w:p w14:paraId="07051A49" w14:textId="689E8C01" w:rsidR="003E40BD" w:rsidRDefault="003E40BD" w:rsidP="000131EB">
      <w:pPr>
        <w:spacing w:after="0" w:line="276" w:lineRule="auto"/>
        <w:rPr>
          <w:rFonts w:ascii="Avenir Next LT Pro Light" w:hAnsi="Avenir Next LT Pro Light"/>
        </w:rPr>
      </w:pPr>
      <w:r w:rsidRPr="00A83964">
        <w:rPr>
          <w:rFonts w:ascii="Avenir Next LT Pro Light" w:hAnsi="Avenir Next LT Pro Light"/>
        </w:rPr>
        <w:t>Om elektrisch vervoer in de Metropoolregio Amsterdam te stimuleren is in 2012 gestart met het project MRA-Elektrisch. Dit project wordt uitgevoerd door het projectbureau MRA-Elektrisch (MRA-E) namens de</w:t>
      </w:r>
      <w:r w:rsidR="00DC6D96">
        <w:rPr>
          <w:rFonts w:ascii="Avenir Next LT Pro Light" w:hAnsi="Avenir Next LT Pro Light"/>
        </w:rPr>
        <w:t xml:space="preserve"> provincies Noord-Holland, Utrecht en Flevoland, de</w:t>
      </w:r>
      <w:r w:rsidRPr="00A83964">
        <w:rPr>
          <w:rFonts w:ascii="Avenir Next LT Pro Light" w:hAnsi="Avenir Next LT Pro Light"/>
        </w:rPr>
        <w:t xml:space="preserve"> Vervoerregio Amsterdam, gemeente Amsterdam </w:t>
      </w:r>
      <w:r w:rsidR="00DC6D96">
        <w:rPr>
          <w:rFonts w:ascii="Avenir Next LT Pro Light" w:hAnsi="Avenir Next LT Pro Light"/>
        </w:rPr>
        <w:t>en</w:t>
      </w:r>
      <w:r w:rsidRPr="00A83964">
        <w:rPr>
          <w:rFonts w:ascii="Avenir Next LT Pro Light" w:hAnsi="Avenir Next LT Pro Light"/>
        </w:rPr>
        <w:t xml:space="preserve"> gemeente Almere</w:t>
      </w:r>
      <w:r w:rsidR="00CF3FD6">
        <w:rPr>
          <w:rFonts w:ascii="Avenir Next LT Pro Light" w:hAnsi="Avenir Next LT Pro Light"/>
        </w:rPr>
        <w:t xml:space="preserve">. </w:t>
      </w:r>
      <w:r w:rsidRPr="00A83964">
        <w:rPr>
          <w:rFonts w:ascii="Avenir Next LT Pro Light" w:hAnsi="Avenir Next LT Pro Light"/>
        </w:rPr>
        <w:t xml:space="preserve">MRA-E werkt voor en samen met </w:t>
      </w:r>
      <w:r w:rsidR="003C58BF">
        <w:rPr>
          <w:rFonts w:ascii="Avenir Next LT Pro Light" w:hAnsi="Avenir Next LT Pro Light"/>
        </w:rPr>
        <w:t xml:space="preserve">de </w:t>
      </w:r>
      <w:r w:rsidRPr="00A83964">
        <w:rPr>
          <w:rFonts w:ascii="Avenir Next LT Pro Light" w:hAnsi="Avenir Next LT Pro Light"/>
        </w:rPr>
        <w:t xml:space="preserve"> gemeenten in de drie provincies. </w:t>
      </w:r>
    </w:p>
    <w:p w14:paraId="592B9C02" w14:textId="77777777" w:rsidR="00DC6D96" w:rsidRPr="00A83964" w:rsidRDefault="00DC6D96" w:rsidP="000131EB">
      <w:pPr>
        <w:spacing w:after="0" w:line="276" w:lineRule="auto"/>
        <w:rPr>
          <w:rFonts w:ascii="Avenir Next LT Pro Light" w:hAnsi="Avenir Next LT Pro Light"/>
        </w:rPr>
      </w:pPr>
    </w:p>
    <w:p w14:paraId="69CE03EF" w14:textId="09C25805" w:rsidR="003E40BD" w:rsidRDefault="003E40BD" w:rsidP="000131EB">
      <w:pPr>
        <w:spacing w:after="0" w:line="276" w:lineRule="auto"/>
        <w:rPr>
          <w:rFonts w:ascii="Avenir Next LT Pro Light" w:hAnsi="Avenir Next LT Pro Light"/>
        </w:rPr>
      </w:pPr>
      <w:r w:rsidRPr="00A83964">
        <w:rPr>
          <w:rFonts w:ascii="Avenir Next LT Pro Light" w:hAnsi="Avenir Next LT Pro Light"/>
        </w:rPr>
        <w:t>De afspraken in het Klimaatakkoord,</w:t>
      </w:r>
      <w:r w:rsidR="00DC6D96">
        <w:rPr>
          <w:rFonts w:ascii="Avenir Next LT Pro Light" w:hAnsi="Avenir Next LT Pro Light"/>
        </w:rPr>
        <w:t xml:space="preserve"> de vraag </w:t>
      </w:r>
      <w:r w:rsidR="00CF3FD6">
        <w:rPr>
          <w:rFonts w:ascii="Avenir Next LT Pro Light" w:hAnsi="Avenir Next LT Pro Light"/>
        </w:rPr>
        <w:t>van</w:t>
      </w:r>
      <w:r w:rsidR="00DC6D96">
        <w:rPr>
          <w:rFonts w:ascii="Avenir Next LT Pro Light" w:hAnsi="Avenir Next LT Pro Light"/>
        </w:rPr>
        <w:t>uit de maatschappij</w:t>
      </w:r>
      <w:r w:rsidRPr="00A83964">
        <w:rPr>
          <w:rFonts w:ascii="Avenir Next LT Pro Light" w:hAnsi="Avenir Next LT Pro Light"/>
        </w:rPr>
        <w:t xml:space="preserve"> en ook de beleidsvoornemens van veel gemeenten en provincies, geven de urgentie aan van de transitie van fossiele naar duurzame brandstoffen. Dit betekent dat regio’s en gemeenten voor grote opgaven staan. MRA</w:t>
      </w:r>
      <w:r w:rsidR="001F035C">
        <w:rPr>
          <w:rFonts w:ascii="Avenir Next LT Pro Light" w:hAnsi="Avenir Next LT Pro Light"/>
        </w:rPr>
        <w:t>-</w:t>
      </w:r>
      <w:r w:rsidRPr="00A83964">
        <w:rPr>
          <w:rFonts w:ascii="Avenir Next LT Pro Light" w:hAnsi="Avenir Next LT Pro Light"/>
        </w:rPr>
        <w:t>E steunt de groei van elektrisch vervoer, onder andere door een dekkend laadnetwerk te realiseren in de provincies Noord-Holland, Utrecht en Flevoland. MRA-Elektrisch organiseert</w:t>
      </w:r>
      <w:r w:rsidR="00DC6D96">
        <w:rPr>
          <w:rFonts w:ascii="Avenir Next LT Pro Light" w:hAnsi="Avenir Next LT Pro Light"/>
        </w:rPr>
        <w:t xml:space="preserve"> ten behoeve van het dekkend laadnetwerk</w:t>
      </w:r>
      <w:r w:rsidRPr="00A83964">
        <w:rPr>
          <w:rFonts w:ascii="Avenir Next LT Pro Light" w:hAnsi="Avenir Next LT Pro Light"/>
        </w:rPr>
        <w:t xml:space="preserve"> aanbestedingen, brengt middelen bijeen en beheert de contracten. De helpdesk en het MRA-E portaal dragen bij aan de versnelling van het aanvraag- en realisatieproces en voorzien gemeenten van actuele informatie. </w:t>
      </w:r>
    </w:p>
    <w:p w14:paraId="1F79E87A" w14:textId="2F66583F" w:rsidR="001C40D4" w:rsidRDefault="001C40D4" w:rsidP="000131EB">
      <w:pPr>
        <w:spacing w:after="0" w:line="276" w:lineRule="auto"/>
        <w:rPr>
          <w:rFonts w:ascii="Avenir Next LT Pro Light" w:hAnsi="Avenir Next LT Pro Light"/>
        </w:rPr>
      </w:pPr>
    </w:p>
    <w:p w14:paraId="22D86571" w14:textId="27725C7E" w:rsidR="004803CD" w:rsidRPr="00A83964" w:rsidRDefault="00DC6D96" w:rsidP="000131EB">
      <w:pPr>
        <w:spacing w:after="0" w:line="276" w:lineRule="auto"/>
        <w:rPr>
          <w:rFonts w:ascii="Avenir Next LT Pro Light" w:hAnsi="Avenir Next LT Pro Light"/>
        </w:rPr>
      </w:pPr>
      <w:r>
        <w:rPr>
          <w:rFonts w:ascii="Avenir Next LT Pro Light" w:hAnsi="Avenir Next LT Pro Light"/>
        </w:rPr>
        <w:t>We laten zien wat er mogelijk is in vernieuwende voorbeeldprojecten</w:t>
      </w:r>
      <w:r w:rsidR="003809CF">
        <w:rPr>
          <w:rFonts w:ascii="Avenir Next LT Pro Light" w:hAnsi="Avenir Next LT Pro Light"/>
        </w:rPr>
        <w:t xml:space="preserve">. Dat doen we </w:t>
      </w:r>
      <w:r>
        <w:rPr>
          <w:rFonts w:ascii="Avenir Next LT Pro Light" w:hAnsi="Avenir Next LT Pro Light"/>
        </w:rPr>
        <w:t>in samenwerking tussen overheid en markt</w:t>
      </w:r>
      <w:r w:rsidR="003809CF">
        <w:rPr>
          <w:rFonts w:ascii="Avenir Next LT Pro Light" w:hAnsi="Avenir Next LT Pro Light"/>
        </w:rPr>
        <w:t xml:space="preserve"> en altijd met het oog op brede toepassing</w:t>
      </w:r>
      <w:r>
        <w:rPr>
          <w:rFonts w:ascii="Avenir Next LT Pro Light" w:hAnsi="Avenir Next LT Pro Light"/>
        </w:rPr>
        <w:t xml:space="preserve">. </w:t>
      </w:r>
      <w:r w:rsidR="003E40BD" w:rsidRPr="00A83964">
        <w:rPr>
          <w:rFonts w:ascii="Avenir Next LT Pro Light" w:hAnsi="Avenir Next LT Pro Light"/>
        </w:rPr>
        <w:t>Daarnaast deelt MRA-E kennis door bijeenkomsten</w:t>
      </w:r>
      <w:r w:rsidR="00E833B7">
        <w:rPr>
          <w:rFonts w:ascii="Avenir Next LT Pro Light" w:hAnsi="Avenir Next LT Pro Light"/>
        </w:rPr>
        <w:t xml:space="preserve"> te organiseren en</w:t>
      </w:r>
      <w:r w:rsidR="003E40BD" w:rsidRPr="007315A7">
        <w:rPr>
          <w:rFonts w:ascii="Avenir Next LT Pro Light" w:hAnsi="Avenir Next LT Pro Light"/>
        </w:rPr>
        <w:t xml:space="preserve"> </w:t>
      </w:r>
      <w:r w:rsidR="00E833B7">
        <w:rPr>
          <w:rFonts w:ascii="Avenir Next LT Pro Light" w:hAnsi="Avenir Next LT Pro Light"/>
        </w:rPr>
        <w:t>informatie uit te wisselen met gemeenten. H</w:t>
      </w:r>
      <w:r w:rsidR="003E40BD" w:rsidRPr="007315A7">
        <w:rPr>
          <w:rFonts w:ascii="Avenir Next LT Pro Light" w:hAnsi="Avenir Next LT Pro Light"/>
        </w:rPr>
        <w:t>et projectbureau</w:t>
      </w:r>
      <w:r w:rsidR="00E833B7">
        <w:rPr>
          <w:rFonts w:ascii="Avenir Next LT Pro Light" w:hAnsi="Avenir Next LT Pro Light"/>
        </w:rPr>
        <w:t xml:space="preserve"> is</w:t>
      </w:r>
      <w:r w:rsidR="003E40BD" w:rsidRPr="007315A7">
        <w:rPr>
          <w:rFonts w:ascii="Avenir Next LT Pro Light" w:hAnsi="Avenir Next LT Pro Light"/>
        </w:rPr>
        <w:t xml:space="preserve"> de verbindende factor tussen gemeenten en andere stakeholders. MRA-E wil de kennis en ervaring die de afgelopen jaren zijn opgedaan delen met gemeenten en gemeenten ondersteunen bij de transitie naar duurzaam vervoer. </w:t>
      </w:r>
    </w:p>
    <w:p w14:paraId="62B860B6" w14:textId="77777777" w:rsidR="004803CD" w:rsidRPr="000859B3" w:rsidRDefault="004803CD" w:rsidP="000131EB">
      <w:pPr>
        <w:pStyle w:val="Kop2"/>
        <w:spacing w:line="276" w:lineRule="auto"/>
      </w:pPr>
      <w:bookmarkStart w:id="5" w:name="_Toc71287692"/>
      <w:r w:rsidRPr="000859B3">
        <w:t>Leeswijzer</w:t>
      </w:r>
      <w:bookmarkEnd w:id="5"/>
    </w:p>
    <w:p w14:paraId="56631CF4" w14:textId="511FBE63" w:rsidR="00E81A5B" w:rsidRPr="00A83964" w:rsidRDefault="00B523E4" w:rsidP="000131EB">
      <w:pPr>
        <w:spacing w:after="0" w:line="276" w:lineRule="auto"/>
        <w:rPr>
          <w:rFonts w:ascii="Avenir Next LT Pro Light" w:hAnsi="Avenir Next LT Pro Light"/>
          <w:b/>
          <w:bCs/>
          <w:szCs w:val="20"/>
        </w:rPr>
      </w:pPr>
      <w:r>
        <w:rPr>
          <w:rFonts w:ascii="Avenir Next LT Pro Light" w:hAnsi="Avenir Next LT Pro Light"/>
        </w:rPr>
        <w:t>Hoofdstuk 2 gaat in op de huidige situatie en de opgave voor regio Noordwest</w:t>
      </w:r>
      <w:r>
        <w:rPr>
          <w:rFonts w:ascii="Avenir Next LT Pro Light" w:hAnsi="Avenir Next LT Pro Light"/>
          <w:b/>
          <w:bCs/>
          <w:szCs w:val="20"/>
        </w:rPr>
        <w:t xml:space="preserve">. </w:t>
      </w:r>
      <w:r w:rsidRPr="00EE0871">
        <w:rPr>
          <w:rFonts w:ascii="Avenir Next LT Pro Light" w:hAnsi="Avenir Next LT Pro Light"/>
          <w:szCs w:val="20"/>
        </w:rPr>
        <w:t xml:space="preserve">Vervolgens wordt in </w:t>
      </w:r>
      <w:r w:rsidR="00EE0871" w:rsidRPr="00EE0871">
        <w:rPr>
          <w:rFonts w:ascii="Avenir Next LT Pro Light" w:hAnsi="Avenir Next LT Pro Light"/>
          <w:szCs w:val="20"/>
        </w:rPr>
        <w:t>hoofdstuk</w:t>
      </w:r>
      <w:r w:rsidR="00D22914">
        <w:rPr>
          <w:rFonts w:ascii="Avenir Next LT Pro Light" w:hAnsi="Avenir Next LT Pro Light"/>
          <w:szCs w:val="20"/>
        </w:rPr>
        <w:t xml:space="preserve"> 3</w:t>
      </w:r>
      <w:r w:rsidR="00EE0871" w:rsidRPr="00EE0871">
        <w:rPr>
          <w:rFonts w:ascii="Avenir Next LT Pro Light" w:hAnsi="Avenir Next LT Pro Light"/>
          <w:szCs w:val="20"/>
        </w:rPr>
        <w:t xml:space="preserve"> ingegaan hoe we een dekkend</w:t>
      </w:r>
      <w:r w:rsidR="00D22914">
        <w:rPr>
          <w:rFonts w:ascii="Avenir Next LT Pro Light" w:hAnsi="Avenir Next LT Pro Light"/>
          <w:szCs w:val="20"/>
        </w:rPr>
        <w:t>e</w:t>
      </w:r>
      <w:r w:rsidR="00EE0871" w:rsidRPr="00EE0871">
        <w:rPr>
          <w:rFonts w:ascii="Avenir Next LT Pro Light" w:hAnsi="Avenir Next LT Pro Light"/>
          <w:szCs w:val="20"/>
        </w:rPr>
        <w:t xml:space="preserve"> laadinfrastructuur kunnen </w:t>
      </w:r>
      <w:r w:rsidR="00D22914">
        <w:rPr>
          <w:rFonts w:ascii="Avenir Next LT Pro Light" w:hAnsi="Avenir Next LT Pro Light"/>
          <w:szCs w:val="20"/>
        </w:rPr>
        <w:t>realiseren</w:t>
      </w:r>
      <w:r w:rsidR="00EE0871" w:rsidRPr="00EE0871">
        <w:rPr>
          <w:rFonts w:ascii="Avenir Next LT Pro Light" w:hAnsi="Avenir Next LT Pro Light"/>
          <w:szCs w:val="20"/>
        </w:rPr>
        <w:t>. Daarbij wordt ingegaan op typen vervoersmiddelen en doelgroepen, publiek</w:t>
      </w:r>
      <w:r w:rsidR="00300610">
        <w:rPr>
          <w:rFonts w:ascii="Avenir Next LT Pro Light" w:hAnsi="Avenir Next LT Pro Light"/>
          <w:szCs w:val="20"/>
        </w:rPr>
        <w:t xml:space="preserve"> </w:t>
      </w:r>
      <w:r w:rsidR="00EE0871" w:rsidRPr="00EE0871">
        <w:rPr>
          <w:rFonts w:ascii="Avenir Next LT Pro Light" w:hAnsi="Avenir Next LT Pro Light"/>
          <w:szCs w:val="20"/>
        </w:rPr>
        <w:t xml:space="preserve">laden, privaat laden, semi-publiek laden en snelladen. Hoofdstuk 4 gaat als laatste in op hoe we elektrisch rijden zo aantrekkelijk mogelijk kunnen maken. </w:t>
      </w:r>
      <w:r w:rsidR="00D22914">
        <w:rPr>
          <w:rFonts w:ascii="Avenir Next LT Pro Light" w:hAnsi="Avenir Next LT Pro Light"/>
          <w:szCs w:val="20"/>
        </w:rPr>
        <w:t>O</w:t>
      </w:r>
      <w:r w:rsidR="00EE0871" w:rsidRPr="00EE0871">
        <w:rPr>
          <w:rFonts w:ascii="Avenir Next LT Pro Light" w:hAnsi="Avenir Next LT Pro Light"/>
          <w:szCs w:val="20"/>
        </w:rPr>
        <w:t>nderwerpen die in dit hoofdstuk aan bod komen zijn onder andere slim laden, prijstransparantie en open markten en protocollen.</w:t>
      </w:r>
    </w:p>
    <w:p w14:paraId="335A99A1" w14:textId="77777777" w:rsidR="00B008F4" w:rsidRPr="000859B3" w:rsidRDefault="004803CD" w:rsidP="000131EB">
      <w:pPr>
        <w:pStyle w:val="Kop1"/>
        <w:spacing w:line="276" w:lineRule="auto"/>
      </w:pPr>
      <w:bookmarkStart w:id="6" w:name="_Toc71287693"/>
      <w:r w:rsidRPr="000859B3">
        <w:lastRenderedPageBreak/>
        <w:t xml:space="preserve">De opgave voor </w:t>
      </w:r>
      <w:r w:rsidR="00993496" w:rsidRPr="000859B3">
        <w:t>regio Noordwest</w:t>
      </w:r>
      <w:bookmarkEnd w:id="6"/>
    </w:p>
    <w:p w14:paraId="35C478ED" w14:textId="77777777" w:rsidR="004803CD" w:rsidRPr="00A83964" w:rsidRDefault="00B008F4" w:rsidP="000131EB">
      <w:pPr>
        <w:spacing w:after="0" w:line="276" w:lineRule="auto"/>
        <w:rPr>
          <w:rFonts w:ascii="Avenir Next LT Pro Light" w:hAnsi="Avenir Next LT Pro Light"/>
        </w:rPr>
      </w:pPr>
      <w:r w:rsidRPr="00A83964">
        <w:rPr>
          <w:rFonts w:ascii="Avenir Next LT Pro Light" w:hAnsi="Avenir Next LT Pro Light"/>
        </w:rPr>
        <w:t xml:space="preserve">Hoeveel laadinfrastructuur </w:t>
      </w:r>
      <w:r w:rsidR="008B793F">
        <w:rPr>
          <w:rFonts w:ascii="Avenir Next LT Pro Light" w:hAnsi="Avenir Next LT Pro Light"/>
        </w:rPr>
        <w:t xml:space="preserve">van welke soort </w:t>
      </w:r>
      <w:r w:rsidRPr="00A83964">
        <w:rPr>
          <w:rFonts w:ascii="Avenir Next LT Pro Light" w:hAnsi="Avenir Next LT Pro Light"/>
        </w:rPr>
        <w:t xml:space="preserve">hebben we op dit moment in onze regio en hoeveel extra laadinfrastructuur is nodig om de ontwikkelingen in elektrisch vervoer te faciliteren? Dat is het startpunt van deze </w:t>
      </w:r>
      <w:r w:rsidR="00367066" w:rsidRPr="00A83964">
        <w:rPr>
          <w:rFonts w:ascii="Avenir Next LT Pro Light" w:hAnsi="Avenir Next LT Pro Light"/>
        </w:rPr>
        <w:t>visie</w:t>
      </w:r>
      <w:r w:rsidR="008F35C7" w:rsidRPr="00A83964">
        <w:rPr>
          <w:rFonts w:ascii="Avenir Next LT Pro Light" w:hAnsi="Avenir Next LT Pro Light"/>
        </w:rPr>
        <w:t xml:space="preserve">. In dit hoofdstuk wordt kort toegelicht waar we nu staan om vervolgens de resterende opgave in beeld te brengen. </w:t>
      </w:r>
      <w:r w:rsidR="008B793F">
        <w:rPr>
          <w:rFonts w:ascii="Avenir Next LT Pro Light" w:hAnsi="Avenir Next LT Pro Light"/>
        </w:rPr>
        <w:t xml:space="preserve">We moeten ons realiseren dat de markt voor elektrisch rijden nog volop in beweging is. Dat betekent dat de telkens de ontwikkelingen gemonitord moeten worden en indien nodig het programma moet worden aangepast.  </w:t>
      </w:r>
    </w:p>
    <w:p w14:paraId="4D5FE1DB" w14:textId="77777777" w:rsidR="004803CD" w:rsidRPr="000859B3" w:rsidRDefault="004803CD" w:rsidP="000131EB">
      <w:pPr>
        <w:pStyle w:val="Kop2"/>
        <w:spacing w:line="276" w:lineRule="auto"/>
      </w:pPr>
      <w:bookmarkStart w:id="7" w:name="_Toc71287694"/>
      <w:r w:rsidRPr="000859B3">
        <w:t>Huidige situatie</w:t>
      </w:r>
      <w:bookmarkEnd w:id="7"/>
      <w:r w:rsidRPr="000859B3">
        <w:t xml:space="preserve"> </w:t>
      </w:r>
    </w:p>
    <w:p w14:paraId="72686C84" w14:textId="77777777" w:rsidR="0028238B" w:rsidRDefault="001C565C" w:rsidP="000131EB">
      <w:pPr>
        <w:spacing w:after="0" w:line="276" w:lineRule="auto"/>
        <w:rPr>
          <w:rFonts w:ascii="Avenir Next LT Pro Light" w:hAnsi="Avenir Next LT Pro Light"/>
        </w:rPr>
      </w:pPr>
      <w:r w:rsidRPr="00A83964">
        <w:rPr>
          <w:rFonts w:ascii="Avenir Next LT Pro Light" w:hAnsi="Avenir Next LT Pro Light"/>
        </w:rPr>
        <w:t xml:space="preserve">Het aantal elektrische auto’s in Nederland neemt de afgelopen jaren fors toe. </w:t>
      </w:r>
      <w:r w:rsidR="00F86AB9" w:rsidRPr="00A83964">
        <w:rPr>
          <w:rFonts w:ascii="Avenir Next LT Pro Light" w:hAnsi="Avenir Next LT Pro Light"/>
        </w:rPr>
        <w:t xml:space="preserve">In de afgelopen </w:t>
      </w:r>
      <w:r w:rsidR="00B812A3" w:rsidRPr="00A83964">
        <w:rPr>
          <w:rFonts w:ascii="Avenir Next LT Pro Light" w:hAnsi="Avenir Next LT Pro Light"/>
        </w:rPr>
        <w:t>jaren</w:t>
      </w:r>
      <w:r w:rsidR="00F86AB9" w:rsidRPr="00A83964">
        <w:rPr>
          <w:rFonts w:ascii="Avenir Next LT Pro Light" w:hAnsi="Avenir Next LT Pro Light"/>
        </w:rPr>
        <w:t xml:space="preserve"> is het aantal elektrische auto’s v</w:t>
      </w:r>
      <w:r w:rsidR="00B812A3" w:rsidRPr="00A83964">
        <w:rPr>
          <w:rFonts w:ascii="Avenir Next LT Pro Light" w:hAnsi="Avenir Next LT Pro Light"/>
        </w:rPr>
        <w:t>erdubbeld</w:t>
      </w:r>
      <w:r w:rsidR="00F86AB9" w:rsidRPr="00A83964">
        <w:rPr>
          <w:rFonts w:ascii="Avenir Next LT Pro Light" w:hAnsi="Avenir Next LT Pro Light"/>
        </w:rPr>
        <w:t xml:space="preserve"> (zie figuur). In totaal waren er in 20</w:t>
      </w:r>
      <w:r w:rsidR="00B812A3" w:rsidRPr="00A83964">
        <w:rPr>
          <w:rFonts w:ascii="Avenir Next LT Pro Light" w:hAnsi="Avenir Next LT Pro Light"/>
        </w:rPr>
        <w:t>20</w:t>
      </w:r>
      <w:r w:rsidR="00F86AB9" w:rsidRPr="00A83964">
        <w:rPr>
          <w:rFonts w:ascii="Avenir Next LT Pro Light" w:hAnsi="Avenir Next LT Pro Light"/>
        </w:rPr>
        <w:t xml:space="preserve"> </w:t>
      </w:r>
      <w:r w:rsidR="00B812A3" w:rsidRPr="00A83964">
        <w:rPr>
          <w:rFonts w:ascii="Avenir Next LT Pro Light" w:hAnsi="Avenir Next LT Pro Light"/>
        </w:rPr>
        <w:t>circa</w:t>
      </w:r>
      <w:r w:rsidR="00F86AB9" w:rsidRPr="00A83964">
        <w:rPr>
          <w:rFonts w:ascii="Avenir Next LT Pro Light" w:hAnsi="Avenir Next LT Pro Light"/>
        </w:rPr>
        <w:t xml:space="preserve"> </w:t>
      </w:r>
      <w:r w:rsidR="00B812A3" w:rsidRPr="00A83964">
        <w:rPr>
          <w:rFonts w:ascii="Avenir Next LT Pro Light" w:hAnsi="Avenir Next LT Pro Light"/>
        </w:rPr>
        <w:t>230</w:t>
      </w:r>
      <w:r w:rsidR="00F86AB9" w:rsidRPr="00A83964">
        <w:rPr>
          <w:rFonts w:ascii="Avenir Next LT Pro Light" w:hAnsi="Avenir Next LT Pro Light"/>
        </w:rPr>
        <w:t>.000 elektrische auto’s in Nederland. Daarvan is ongeveer</w:t>
      </w:r>
      <w:r w:rsidR="00B812A3" w:rsidRPr="00A83964">
        <w:rPr>
          <w:rFonts w:ascii="Avenir Next LT Pro Light" w:hAnsi="Avenir Next LT Pro Light"/>
        </w:rPr>
        <w:t xml:space="preserve"> de helft</w:t>
      </w:r>
      <w:r w:rsidR="00F86AB9" w:rsidRPr="00A83964">
        <w:rPr>
          <w:rFonts w:ascii="Avenir Next LT Pro Light" w:hAnsi="Avenir Next LT Pro Light"/>
        </w:rPr>
        <w:t xml:space="preserve"> volledig elektrisch. </w:t>
      </w:r>
    </w:p>
    <w:p w14:paraId="2B17FB9D" w14:textId="77777777" w:rsidR="000859B3" w:rsidRPr="00A83964" w:rsidRDefault="000859B3" w:rsidP="000131EB">
      <w:pPr>
        <w:spacing w:after="0" w:line="276" w:lineRule="auto"/>
        <w:rPr>
          <w:rFonts w:ascii="Avenir Next LT Pro Light" w:hAnsi="Avenir Next LT Pro Light"/>
        </w:rPr>
      </w:pPr>
    </w:p>
    <w:p w14:paraId="521C9305" w14:textId="77777777" w:rsidR="0028238B" w:rsidRPr="00CF3FD6" w:rsidRDefault="00B812A3" w:rsidP="000131EB">
      <w:pPr>
        <w:spacing w:after="0" w:line="276" w:lineRule="auto"/>
        <w:rPr>
          <w:rFonts w:ascii="Avenir Next LT Pro Light" w:hAnsi="Avenir Next LT Pro Light"/>
        </w:rPr>
      </w:pPr>
      <w:r w:rsidRPr="00A83964">
        <w:rPr>
          <w:rFonts w:ascii="Avenir Next LT Pro Light" w:hAnsi="Avenir Next LT Pro Light"/>
          <w:noProof/>
          <w:lang w:eastAsia="nl-NL"/>
        </w:rPr>
        <w:drawing>
          <wp:inline distT="0" distB="0" distL="0" distR="0" wp14:anchorId="3F0937E3" wp14:editId="5FB1CE4A">
            <wp:extent cx="5136543" cy="2926080"/>
            <wp:effectExtent l="0" t="0" r="6985" b="7620"/>
            <wp:docPr id="24" name="Grafiek 24">
              <a:extLst xmlns:a="http://schemas.openxmlformats.org/drawingml/2006/main">
                <a:ext uri="{FF2B5EF4-FFF2-40B4-BE49-F238E27FC236}">
                  <a16:creationId xmlns:a16="http://schemas.microsoft.com/office/drawing/2014/main" id="{487D8E90-B9DC-4C67-B033-D388492AD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86AB9" w:rsidRPr="00CF3FD6">
        <w:rPr>
          <w:rFonts w:ascii="Avenir Next LT Pro Light" w:hAnsi="Avenir Next LT Pro Light"/>
        </w:rPr>
        <w:br/>
      </w:r>
      <w:r w:rsidR="00F86AB9" w:rsidRPr="00CF3FD6">
        <w:rPr>
          <w:rFonts w:ascii="Avenir Next LT Pro Light" w:hAnsi="Avenir Next LT Pro Light"/>
          <w:sz w:val="18"/>
          <w:szCs w:val="20"/>
        </w:rPr>
        <w:t xml:space="preserve">Bron: </w:t>
      </w:r>
      <w:r w:rsidRPr="00CF3FD6">
        <w:rPr>
          <w:rFonts w:ascii="Avenir Next LT Pro Light" w:hAnsi="Avenir Next LT Pro Light"/>
          <w:sz w:val="18"/>
          <w:szCs w:val="20"/>
        </w:rPr>
        <w:t xml:space="preserve">RVO (2020). </w:t>
      </w:r>
      <w:r w:rsidRPr="00CF3FD6">
        <w:rPr>
          <w:rFonts w:ascii="Avenir Next LT Pro Light" w:hAnsi="Avenir Next LT Pro Light"/>
          <w:i/>
          <w:iCs/>
          <w:sz w:val="18"/>
          <w:szCs w:val="20"/>
        </w:rPr>
        <w:t>Statistics Electric Vehicles in the Netherlands.</w:t>
      </w:r>
      <w:r w:rsidR="00F86AB9" w:rsidRPr="00CF3FD6">
        <w:rPr>
          <w:rFonts w:ascii="Avenir Next LT Pro Light" w:hAnsi="Avenir Next LT Pro Light"/>
          <w:sz w:val="18"/>
          <w:szCs w:val="20"/>
        </w:rPr>
        <w:t xml:space="preserve"> </w:t>
      </w:r>
    </w:p>
    <w:p w14:paraId="2D41109E" w14:textId="77777777" w:rsidR="000859B3" w:rsidRPr="00CF3FD6" w:rsidRDefault="000859B3" w:rsidP="000131EB">
      <w:pPr>
        <w:spacing w:after="0" w:line="276" w:lineRule="auto"/>
        <w:rPr>
          <w:rFonts w:ascii="Avenir Next LT Pro Light" w:hAnsi="Avenir Next LT Pro Light"/>
        </w:rPr>
      </w:pPr>
    </w:p>
    <w:p w14:paraId="34274328" w14:textId="77777777" w:rsidR="00C73AAD" w:rsidRDefault="003C5D6E" w:rsidP="000131EB">
      <w:pPr>
        <w:spacing w:after="0" w:line="276" w:lineRule="auto"/>
        <w:rPr>
          <w:rFonts w:ascii="Avenir Next LT Pro Light" w:hAnsi="Avenir Next LT Pro Light"/>
        </w:rPr>
      </w:pPr>
      <w:r w:rsidRPr="00A83964">
        <w:rPr>
          <w:rFonts w:ascii="Avenir Next LT Pro Light" w:hAnsi="Avenir Next LT Pro Light"/>
        </w:rPr>
        <w:t xml:space="preserve">Het groeiend aantal elektrische auto’s vraagt om een passende laadinfrastructuur. Onderstaande figuur laat het aantal laadpalen zien in de regio MRA-E (excl. Amsterdam en Utrecht). </w:t>
      </w:r>
      <w:r w:rsidR="00E05315" w:rsidRPr="00A83964">
        <w:rPr>
          <w:rFonts w:ascii="Avenir Next LT Pro Light" w:hAnsi="Avenir Next LT Pro Light"/>
        </w:rPr>
        <w:t>De figuur maakt onderscheid naar het type laadp</w:t>
      </w:r>
      <w:r w:rsidR="00491ECC">
        <w:rPr>
          <w:rFonts w:ascii="Avenir Next LT Pro Light" w:hAnsi="Avenir Next LT Pro Light"/>
        </w:rPr>
        <w:t>unt</w:t>
      </w:r>
      <w:r w:rsidR="00E05315" w:rsidRPr="00A83964">
        <w:rPr>
          <w:rFonts w:ascii="Avenir Next LT Pro Light" w:hAnsi="Avenir Next LT Pro Light"/>
        </w:rPr>
        <w:t xml:space="preserve">: publiek, snel en (semi-)privaat. </w:t>
      </w:r>
    </w:p>
    <w:p w14:paraId="6148337D" w14:textId="77777777" w:rsidR="009F7E51" w:rsidRPr="00A83964" w:rsidRDefault="00C73AAD" w:rsidP="000131EB">
      <w:pPr>
        <w:spacing w:after="0" w:line="276" w:lineRule="auto"/>
        <w:rPr>
          <w:rFonts w:ascii="Avenir Next LT Pro Light" w:hAnsi="Avenir Next LT Pro Light"/>
          <w:sz w:val="18"/>
          <w:szCs w:val="20"/>
        </w:rPr>
      </w:pPr>
      <w:r>
        <w:rPr>
          <w:noProof/>
          <w:lang w:eastAsia="nl-NL"/>
        </w:rPr>
        <w:lastRenderedPageBreak/>
        <w:drawing>
          <wp:inline distT="0" distB="0" distL="0" distR="0" wp14:anchorId="4343CA05" wp14:editId="1AA9F331">
            <wp:extent cx="4572000" cy="2838450"/>
            <wp:effectExtent l="0" t="0" r="0" b="0"/>
            <wp:docPr id="14" name="Grafiek 14">
              <a:extLst xmlns:a="http://schemas.openxmlformats.org/drawingml/2006/main">
                <a:ext uri="{FF2B5EF4-FFF2-40B4-BE49-F238E27FC236}">
                  <a16:creationId xmlns:a16="http://schemas.microsoft.com/office/drawing/2014/main" id="{7AC25798-3172-429A-84B8-8D1E1F342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F7E51" w:rsidRPr="00A83964">
        <w:rPr>
          <w:rFonts w:ascii="Avenir Next LT Pro Light" w:hAnsi="Avenir Next LT Pro Light"/>
        </w:rPr>
        <w:br/>
      </w:r>
      <w:r w:rsidR="009F7E51" w:rsidRPr="00A83964">
        <w:rPr>
          <w:rFonts w:ascii="Avenir Next LT Pro Light" w:hAnsi="Avenir Next LT Pro Light"/>
          <w:sz w:val="18"/>
          <w:szCs w:val="20"/>
        </w:rPr>
        <w:t xml:space="preserve">Bron: cijfers RVO, </w:t>
      </w:r>
      <w:r w:rsidR="00FF53A0">
        <w:rPr>
          <w:rFonts w:ascii="Avenir Next LT Pro Light" w:hAnsi="Avenir Next LT Pro Light"/>
          <w:sz w:val="18"/>
          <w:szCs w:val="20"/>
        </w:rPr>
        <w:t>november</w:t>
      </w:r>
      <w:r w:rsidR="009F7E51" w:rsidRPr="00A83964">
        <w:rPr>
          <w:rFonts w:ascii="Avenir Next LT Pro Light" w:hAnsi="Avenir Next LT Pro Light"/>
          <w:sz w:val="18"/>
          <w:szCs w:val="20"/>
        </w:rPr>
        <w:t xml:space="preserve"> 2020 (zie </w:t>
      </w:r>
      <w:hyperlink r:id="rId17" w:history="1">
        <w:r w:rsidR="009F7E51" w:rsidRPr="00A83964">
          <w:rPr>
            <w:rFonts w:ascii="Avenir Next LT Pro Light" w:hAnsi="Avenir Next LT Pro Light"/>
            <w:color w:val="4472C4" w:themeColor="accent1"/>
            <w:sz w:val="16"/>
            <w:szCs w:val="16"/>
            <w:u w:val="single"/>
          </w:rPr>
          <w:t>link</w:t>
        </w:r>
      </w:hyperlink>
      <w:r w:rsidR="009F7E51" w:rsidRPr="00A83964">
        <w:rPr>
          <w:rFonts w:ascii="Avenir Next LT Pro Light" w:hAnsi="Avenir Next LT Pro Light"/>
          <w:sz w:val="18"/>
          <w:szCs w:val="20"/>
        </w:rPr>
        <w:t>)</w:t>
      </w:r>
    </w:p>
    <w:p w14:paraId="29EC3A13" w14:textId="77777777" w:rsidR="000859B3" w:rsidRDefault="000859B3" w:rsidP="000131EB">
      <w:pPr>
        <w:spacing w:after="0" w:line="276" w:lineRule="auto"/>
        <w:rPr>
          <w:rFonts w:ascii="Avenir Next LT Pro Light" w:hAnsi="Avenir Next LT Pro Light"/>
        </w:rPr>
      </w:pPr>
    </w:p>
    <w:p w14:paraId="667CA173" w14:textId="27FD34C1" w:rsidR="00C73AAD" w:rsidRPr="00A83964" w:rsidRDefault="008F35C7" w:rsidP="000131EB">
      <w:pPr>
        <w:spacing w:after="0" w:line="276" w:lineRule="auto"/>
        <w:rPr>
          <w:rFonts w:ascii="Avenir Next LT Pro Light" w:hAnsi="Avenir Next LT Pro Light"/>
          <w:sz w:val="18"/>
          <w:szCs w:val="20"/>
        </w:rPr>
      </w:pPr>
      <w:r w:rsidRPr="00A83964">
        <w:rPr>
          <w:rFonts w:ascii="Avenir Next LT Pro Light" w:hAnsi="Avenir Next LT Pro Light"/>
        </w:rPr>
        <w:t xml:space="preserve">In de provincies Noord-Holland, Flevoland en Utrecht zijn </w:t>
      </w:r>
      <w:r w:rsidR="002D1D14">
        <w:rPr>
          <w:rFonts w:ascii="Avenir Next LT Pro Light" w:hAnsi="Avenir Next LT Pro Light"/>
        </w:rPr>
        <w:t xml:space="preserve"> 8.970</w:t>
      </w:r>
      <w:r w:rsidRPr="00A83964">
        <w:rPr>
          <w:rFonts w:ascii="Avenir Next LT Pro Light" w:hAnsi="Avenir Next LT Pro Light"/>
        </w:rPr>
        <w:t xml:space="preserve"> publieke laadpunten en circa 4</w:t>
      </w:r>
      <w:r w:rsidR="00FF53A0">
        <w:rPr>
          <w:rFonts w:ascii="Avenir Next LT Pro Light" w:hAnsi="Avenir Next LT Pro Light"/>
        </w:rPr>
        <w:t>5</w:t>
      </w:r>
      <w:r w:rsidRPr="00A83964">
        <w:rPr>
          <w:rFonts w:ascii="Avenir Next LT Pro Light" w:hAnsi="Avenir Next LT Pro Light"/>
        </w:rPr>
        <w:t>0 snellaadpunten gerealiseerd. De uitrol van (semi-)private laadinfrastructuur blijft tot op heden nog achter bij de uitrol van publieke laadinfrastructuur. Dit komt onder andere omdat er nog veel vragen zijn over het laden op eigen terrein. Locaties voor (semi-)private oplaadpunten zijn bijvoorbeeld parkeergarages, parkeerterreinen, tankstations, horecalocaties en bedrijventerreinen. In de provincies Noord-Holland, Flevoland en Utrecht zijn tot nu toe ca. 5.</w:t>
      </w:r>
      <w:r w:rsidR="00FF53A0">
        <w:rPr>
          <w:rFonts w:ascii="Avenir Next LT Pro Light" w:hAnsi="Avenir Next LT Pro Light"/>
        </w:rPr>
        <w:t>0</w:t>
      </w:r>
      <w:r w:rsidRPr="00A83964">
        <w:rPr>
          <w:rFonts w:ascii="Avenir Next LT Pro Light" w:hAnsi="Avenir Next LT Pro Light"/>
        </w:rPr>
        <w:t>00 semi-private laadpunten gerealiseerd</w:t>
      </w:r>
      <w:r w:rsidRPr="00A83964">
        <w:rPr>
          <w:rStyle w:val="Voetnootmarkering"/>
          <w:rFonts w:ascii="Avenir Next LT Pro Light" w:hAnsi="Avenir Next LT Pro Light"/>
        </w:rPr>
        <w:footnoteReference w:id="1"/>
      </w:r>
      <w:r w:rsidRPr="00A83964">
        <w:rPr>
          <w:rFonts w:ascii="Avenir Next LT Pro Light" w:hAnsi="Avenir Next LT Pro Light"/>
        </w:rPr>
        <w:t>. Dit zijn reguliere laadpunten.</w:t>
      </w:r>
    </w:p>
    <w:p w14:paraId="564A9B9B" w14:textId="77777777" w:rsidR="003C5D6E" w:rsidRPr="000859B3" w:rsidRDefault="008C60E2" w:rsidP="000131EB">
      <w:pPr>
        <w:pStyle w:val="Kop2"/>
        <w:spacing w:line="276" w:lineRule="auto"/>
      </w:pPr>
      <w:bookmarkStart w:id="8" w:name="_Toc71287695"/>
      <w:r w:rsidRPr="000859B3">
        <w:t>Prognose tot en met 2030</w:t>
      </w:r>
      <w:bookmarkEnd w:id="8"/>
    </w:p>
    <w:p w14:paraId="0740798E" w14:textId="02DA47DD" w:rsidR="00600507" w:rsidRDefault="00185484" w:rsidP="000131EB">
      <w:pPr>
        <w:spacing w:after="0" w:line="276" w:lineRule="auto"/>
        <w:rPr>
          <w:rFonts w:ascii="Avenir Next LT Pro Light" w:hAnsi="Avenir Next LT Pro Light"/>
        </w:rPr>
      </w:pPr>
      <w:r w:rsidRPr="00A83964">
        <w:rPr>
          <w:rFonts w:ascii="Avenir Next LT Pro Light" w:hAnsi="Avenir Next LT Pro Light"/>
        </w:rPr>
        <w:t xml:space="preserve">Om elektrisch vervoer in de Metropoolregio Amsterdam te stimuleren is in 2012 gestart met het project MRA-Elektrisch. MRA-E werkt voor en samen met circa </w:t>
      </w:r>
      <w:r w:rsidR="004D10D2" w:rsidRPr="00A83964">
        <w:rPr>
          <w:rFonts w:ascii="Avenir Next LT Pro Light" w:hAnsi="Avenir Next LT Pro Light"/>
        </w:rPr>
        <w:t>8</w:t>
      </w:r>
      <w:r w:rsidRPr="00A83964">
        <w:rPr>
          <w:rFonts w:ascii="Avenir Next LT Pro Light" w:hAnsi="Avenir Next LT Pro Light"/>
        </w:rPr>
        <w:t>0 gemeenten in de drie provincies</w:t>
      </w:r>
      <w:r w:rsidR="00993496">
        <w:rPr>
          <w:rFonts w:ascii="Avenir Next LT Pro Light" w:hAnsi="Avenir Next LT Pro Light"/>
        </w:rPr>
        <w:t xml:space="preserve"> (oftewel regio Noordwest</w:t>
      </w:r>
      <w:r w:rsidR="008163FB">
        <w:rPr>
          <w:rStyle w:val="Voetnootmarkering"/>
          <w:rFonts w:ascii="Avenir Next LT Pro Light" w:hAnsi="Avenir Next LT Pro Light"/>
        </w:rPr>
        <w:footnoteReference w:id="2"/>
      </w:r>
      <w:r w:rsidR="00993496">
        <w:rPr>
          <w:rFonts w:ascii="Avenir Next LT Pro Light" w:hAnsi="Avenir Next LT Pro Light"/>
        </w:rPr>
        <w:t>)</w:t>
      </w:r>
      <w:r w:rsidRPr="00A83964">
        <w:rPr>
          <w:rFonts w:ascii="Avenir Next LT Pro Light" w:hAnsi="Avenir Next LT Pro Light"/>
        </w:rPr>
        <w:t xml:space="preserve">. Prognoses uitgevoerd door </w:t>
      </w:r>
      <w:r w:rsidRPr="008163FB">
        <w:rPr>
          <w:rFonts w:ascii="Avenir Next LT Pro Light" w:hAnsi="Avenir Next LT Pro Light"/>
        </w:rPr>
        <w:t>APPM</w:t>
      </w:r>
      <w:r w:rsidR="00993496" w:rsidRPr="008163FB">
        <w:rPr>
          <w:rFonts w:ascii="Avenir Next LT Pro Light" w:hAnsi="Avenir Next LT Pro Light"/>
        </w:rPr>
        <w:t xml:space="preserve"> </w:t>
      </w:r>
      <w:r w:rsidR="001F035C">
        <w:rPr>
          <w:rFonts w:ascii="Avenir Next LT Pro Light" w:hAnsi="Avenir Next LT Pro Light"/>
        </w:rPr>
        <w:t xml:space="preserve">in opdracht van de Nationale Agenda Laadinfrastructuur </w:t>
      </w:r>
      <w:r w:rsidR="00993496" w:rsidRPr="008163FB">
        <w:rPr>
          <w:rFonts w:ascii="Avenir Next LT Pro Light" w:hAnsi="Avenir Next LT Pro Light"/>
        </w:rPr>
        <w:t xml:space="preserve">heeft MRA-E </w:t>
      </w:r>
      <w:r w:rsidR="00766427">
        <w:rPr>
          <w:rFonts w:ascii="Avenir Next LT Pro Light" w:hAnsi="Avenir Next LT Pro Light"/>
        </w:rPr>
        <w:t>bewerkt</w:t>
      </w:r>
      <w:r w:rsidR="00993496" w:rsidRPr="008163FB">
        <w:rPr>
          <w:rFonts w:ascii="Avenir Next LT Pro Light" w:hAnsi="Avenir Next LT Pro Light"/>
        </w:rPr>
        <w:t xml:space="preserve"> om de behoefte voor de regio Noordwest inzichtelijk te maken. I</w:t>
      </w:r>
      <w:r w:rsidRPr="008163FB">
        <w:rPr>
          <w:rFonts w:ascii="Avenir Next LT Pro Light" w:hAnsi="Avenir Next LT Pro Light"/>
        </w:rPr>
        <w:t>n totaal</w:t>
      </w:r>
      <w:r w:rsidR="00993496" w:rsidRPr="008163FB">
        <w:rPr>
          <w:rFonts w:ascii="Avenir Next LT Pro Light" w:hAnsi="Avenir Next LT Pro Light"/>
        </w:rPr>
        <w:t xml:space="preserve"> zijn</w:t>
      </w:r>
      <w:r w:rsidRPr="008163FB">
        <w:rPr>
          <w:rFonts w:ascii="Avenir Next LT Pro Light" w:hAnsi="Avenir Next LT Pro Light"/>
        </w:rPr>
        <w:t xml:space="preserve"> </w:t>
      </w:r>
      <w:r w:rsidR="001409D9" w:rsidRPr="008163FB">
        <w:rPr>
          <w:rFonts w:ascii="Avenir Next LT Pro Light" w:hAnsi="Avenir Next LT Pro Light"/>
        </w:rPr>
        <w:t>circa</w:t>
      </w:r>
      <w:r w:rsidRPr="008163FB">
        <w:rPr>
          <w:rFonts w:ascii="Avenir Next LT Pro Light" w:hAnsi="Avenir Next LT Pro Light"/>
        </w:rPr>
        <w:t xml:space="preserve"> </w:t>
      </w:r>
      <w:r w:rsidR="00CE56CA">
        <w:rPr>
          <w:rFonts w:ascii="Avenir Next LT Pro Light" w:hAnsi="Avenir Next LT Pro Light"/>
        </w:rPr>
        <w:t>43</w:t>
      </w:r>
      <w:r w:rsidRPr="008163FB">
        <w:rPr>
          <w:rFonts w:ascii="Avenir Next LT Pro Light" w:hAnsi="Avenir Next LT Pro Light"/>
        </w:rPr>
        <w:t>.000 laadpunten in 2020</w:t>
      </w:r>
      <w:r w:rsidR="00E833B7">
        <w:rPr>
          <w:rFonts w:ascii="Avenir Next LT Pro Light" w:hAnsi="Avenir Next LT Pro Light"/>
        </w:rPr>
        <w:t xml:space="preserve"> </w:t>
      </w:r>
      <w:r w:rsidRPr="008163FB">
        <w:rPr>
          <w:rFonts w:ascii="Avenir Next LT Pro Light" w:hAnsi="Avenir Next LT Pro Light"/>
        </w:rPr>
        <w:t xml:space="preserve">en </w:t>
      </w:r>
      <w:r w:rsidR="00CE56CA">
        <w:rPr>
          <w:rFonts w:ascii="Avenir Next LT Pro Light" w:hAnsi="Avenir Next LT Pro Light"/>
        </w:rPr>
        <w:t>336</w:t>
      </w:r>
      <w:r w:rsidR="009032DE" w:rsidRPr="008163FB">
        <w:rPr>
          <w:rFonts w:ascii="Avenir Next LT Pro Light" w:hAnsi="Avenir Next LT Pro Light"/>
        </w:rPr>
        <w:t>.</w:t>
      </w:r>
      <w:r w:rsidR="008163FB" w:rsidRPr="008163FB">
        <w:rPr>
          <w:rFonts w:ascii="Avenir Next LT Pro Light" w:hAnsi="Avenir Next LT Pro Light"/>
        </w:rPr>
        <w:t>0</w:t>
      </w:r>
      <w:r w:rsidR="009032DE" w:rsidRPr="008163FB">
        <w:rPr>
          <w:rFonts w:ascii="Avenir Next LT Pro Light" w:hAnsi="Avenir Next LT Pro Light"/>
        </w:rPr>
        <w:t>00 laadpunten</w:t>
      </w:r>
      <w:r w:rsidR="00CA618E">
        <w:rPr>
          <w:rFonts w:ascii="Avenir Next LT Pro Light" w:hAnsi="Avenir Next LT Pro Light"/>
        </w:rPr>
        <w:t xml:space="preserve"> </w:t>
      </w:r>
      <w:r w:rsidR="009032DE" w:rsidRPr="008163FB">
        <w:rPr>
          <w:rFonts w:ascii="Avenir Next LT Pro Light" w:hAnsi="Avenir Next LT Pro Light"/>
        </w:rPr>
        <w:t>in 2030</w:t>
      </w:r>
      <w:r w:rsidR="00CA618E">
        <w:rPr>
          <w:rFonts w:ascii="Avenir Next LT Pro Light" w:hAnsi="Avenir Next LT Pro Light"/>
        </w:rPr>
        <w:t xml:space="preserve"> </w:t>
      </w:r>
      <w:r w:rsidR="00CA618E" w:rsidRPr="008163FB">
        <w:rPr>
          <w:rFonts w:ascii="Avenir Next LT Pro Light" w:hAnsi="Avenir Next LT Pro Light"/>
        </w:rPr>
        <w:t>nodig</w:t>
      </w:r>
      <w:r w:rsidR="009032DE" w:rsidRPr="008163FB">
        <w:rPr>
          <w:rFonts w:ascii="Avenir Next LT Pro Light" w:hAnsi="Avenir Next LT Pro Light"/>
        </w:rPr>
        <w:t xml:space="preserve"> (zie tabel). </w:t>
      </w:r>
      <w:r w:rsidR="004D10D2" w:rsidRPr="00A83964">
        <w:rPr>
          <w:rFonts w:ascii="Avenir Next LT Pro Light" w:hAnsi="Avenir Next LT Pro Light"/>
        </w:rPr>
        <w:t xml:space="preserve"> </w:t>
      </w:r>
      <w:r w:rsidR="00CA618E">
        <w:rPr>
          <w:rFonts w:ascii="Avenir Next LT Pro Light" w:hAnsi="Avenir Next LT Pro Light"/>
        </w:rPr>
        <w:t>Belangrijke kanttekening bij d</w:t>
      </w:r>
      <w:r w:rsidR="00766427">
        <w:rPr>
          <w:rFonts w:ascii="Avenir Next LT Pro Light" w:hAnsi="Avenir Next LT Pro Light"/>
        </w:rPr>
        <w:t xml:space="preserve">e prognoses </w:t>
      </w:r>
      <w:r w:rsidR="00CA618E">
        <w:rPr>
          <w:rFonts w:ascii="Avenir Next LT Pro Light" w:hAnsi="Avenir Next LT Pro Light"/>
        </w:rPr>
        <w:t>is dat de cijfers gezien moeten worden als</w:t>
      </w:r>
      <w:r w:rsidR="00766427">
        <w:rPr>
          <w:rFonts w:ascii="Avenir Next LT Pro Light" w:hAnsi="Avenir Next LT Pro Light"/>
        </w:rPr>
        <w:t xml:space="preserve"> richtlijnen.</w:t>
      </w:r>
      <w:r w:rsidR="001F035C">
        <w:rPr>
          <w:rFonts w:ascii="Avenir Next LT Pro Light" w:hAnsi="Avenir Next LT Pro Light"/>
        </w:rPr>
        <w:t xml:space="preserve"> </w:t>
      </w:r>
      <w:r w:rsidR="00766427">
        <w:rPr>
          <w:rFonts w:ascii="Avenir Next LT Pro Light" w:hAnsi="Avenir Next LT Pro Light"/>
        </w:rPr>
        <w:t xml:space="preserve"> Het is belangrijk om de ontwikkelingen in elektrisch vervoer te blijven monitoren om zo waar nodig de prognoses bij te kunnen stellen. </w:t>
      </w:r>
      <w:r w:rsidR="001409D9" w:rsidRPr="00A83964">
        <w:rPr>
          <w:rFonts w:ascii="Avenir Next LT Pro Light" w:hAnsi="Avenir Next LT Pro Light"/>
        </w:rPr>
        <w:br/>
      </w:r>
      <w:r w:rsidR="001409D9" w:rsidRPr="00A83964">
        <w:rPr>
          <w:rFonts w:ascii="Avenir Next LT Pro Light" w:hAnsi="Avenir Next LT Pro Light"/>
        </w:rPr>
        <w:br/>
      </w:r>
      <w:r w:rsidR="009032DE" w:rsidRPr="00A83964">
        <w:rPr>
          <w:rFonts w:ascii="Avenir Next LT Pro Light" w:hAnsi="Avenir Next LT Pro Light"/>
        </w:rPr>
        <w:t>MRA-</w:t>
      </w:r>
      <w:r w:rsidR="008163FB">
        <w:rPr>
          <w:rFonts w:ascii="Avenir Next LT Pro Light" w:hAnsi="Avenir Next LT Pro Light"/>
        </w:rPr>
        <w:t>E</w:t>
      </w:r>
      <w:r w:rsidR="009032DE" w:rsidRPr="00A83964">
        <w:rPr>
          <w:rFonts w:ascii="Avenir Next LT Pro Light" w:hAnsi="Avenir Next LT Pro Light"/>
        </w:rPr>
        <w:t xml:space="preserve"> heeft de prognoses gespecificeerd naar benodigde laadpunten per gemeente. In </w:t>
      </w:r>
      <w:r w:rsidR="00766427">
        <w:rPr>
          <w:rFonts w:ascii="Avenir Next LT Pro Light" w:hAnsi="Avenir Next LT Pro Light"/>
        </w:rPr>
        <w:t xml:space="preserve">de </w:t>
      </w:r>
      <w:r w:rsidR="009032DE" w:rsidRPr="008163FB">
        <w:rPr>
          <w:rFonts w:ascii="Avenir Next LT Pro Light" w:hAnsi="Avenir Next LT Pro Light"/>
        </w:rPr>
        <w:t>bijlage</w:t>
      </w:r>
      <w:r w:rsidR="00766427">
        <w:rPr>
          <w:rFonts w:ascii="Avenir Next LT Pro Light" w:hAnsi="Avenir Next LT Pro Light"/>
        </w:rPr>
        <w:t>n</w:t>
      </w:r>
      <w:r w:rsidR="009032DE" w:rsidRPr="008163FB">
        <w:rPr>
          <w:rFonts w:ascii="Avenir Next LT Pro Light" w:hAnsi="Avenir Next LT Pro Light"/>
        </w:rPr>
        <w:t xml:space="preserve"> </w:t>
      </w:r>
      <w:r w:rsidR="001409D9" w:rsidRPr="008163FB">
        <w:rPr>
          <w:rFonts w:ascii="Avenir Next LT Pro Light" w:hAnsi="Avenir Next LT Pro Light"/>
        </w:rPr>
        <w:t>zijn deze</w:t>
      </w:r>
      <w:r w:rsidR="009032DE" w:rsidRPr="008163FB">
        <w:rPr>
          <w:rFonts w:ascii="Avenir Next LT Pro Light" w:hAnsi="Avenir Next LT Pro Light"/>
        </w:rPr>
        <w:t xml:space="preserve"> overzicht</w:t>
      </w:r>
      <w:r w:rsidR="001409D9" w:rsidRPr="008163FB">
        <w:rPr>
          <w:rFonts w:ascii="Avenir Next LT Pro Light" w:hAnsi="Avenir Next LT Pro Light"/>
        </w:rPr>
        <w:t>en</w:t>
      </w:r>
      <w:r w:rsidR="009032DE" w:rsidRPr="00A83964">
        <w:rPr>
          <w:rFonts w:ascii="Avenir Next LT Pro Light" w:hAnsi="Avenir Next LT Pro Light"/>
        </w:rPr>
        <w:t xml:space="preserve"> opgenomen. </w:t>
      </w:r>
    </w:p>
    <w:p w14:paraId="4F83F3CF" w14:textId="77777777" w:rsidR="001C40D4" w:rsidRDefault="001C40D4" w:rsidP="000131EB">
      <w:pPr>
        <w:spacing w:after="0" w:line="276" w:lineRule="auto"/>
        <w:rPr>
          <w:rFonts w:ascii="Avenir Next LT Pro Light" w:hAnsi="Avenir Next LT Pro Light"/>
        </w:rPr>
      </w:pPr>
    </w:p>
    <w:p w14:paraId="142D2105" w14:textId="77777777" w:rsidR="000859B3" w:rsidRPr="00A83964" w:rsidRDefault="000859B3" w:rsidP="000131EB">
      <w:pPr>
        <w:spacing w:after="0" w:line="276" w:lineRule="auto"/>
        <w:rPr>
          <w:rFonts w:ascii="Avenir Next LT Pro Light" w:hAnsi="Avenir Next LT Pro Light"/>
        </w:rPr>
      </w:pPr>
    </w:p>
    <w:p w14:paraId="225887F9" w14:textId="77777777" w:rsidR="00360D24" w:rsidRPr="00A83964" w:rsidRDefault="00360D24" w:rsidP="000131EB">
      <w:pPr>
        <w:pStyle w:val="Bijschrift"/>
        <w:keepNext/>
        <w:spacing w:after="0" w:line="276" w:lineRule="auto"/>
        <w:rPr>
          <w:rFonts w:ascii="Avenir Next LT Pro Light" w:hAnsi="Avenir Next LT Pro Light"/>
        </w:rPr>
      </w:pPr>
      <w:r w:rsidRPr="00A83964">
        <w:rPr>
          <w:rFonts w:ascii="Avenir Next LT Pro Light" w:hAnsi="Avenir Next LT Pro Light"/>
        </w:rPr>
        <w:lastRenderedPageBreak/>
        <w:t xml:space="preserve">Tabel </w:t>
      </w:r>
      <w:r w:rsidR="0026306A" w:rsidRPr="00A83964">
        <w:rPr>
          <w:rFonts w:ascii="Avenir Next LT Pro Light" w:hAnsi="Avenir Next LT Pro Light"/>
        </w:rPr>
        <w:t>1</w:t>
      </w:r>
      <w:r w:rsidRPr="00A83964">
        <w:rPr>
          <w:rFonts w:ascii="Avenir Next LT Pro Light" w:hAnsi="Avenir Next LT Pro Light"/>
        </w:rPr>
        <w:t xml:space="preserve"> Prognose laadpunten </w:t>
      </w:r>
      <w:r w:rsidR="00456D71">
        <w:rPr>
          <w:rFonts w:ascii="Avenir Next LT Pro Light" w:hAnsi="Avenir Next LT Pro Light"/>
        </w:rPr>
        <w:t>regio Noordwest</w:t>
      </w:r>
      <w:r w:rsidRPr="00A83964">
        <w:rPr>
          <w:rFonts w:ascii="Avenir Next LT Pro Light" w:hAnsi="Avenir Next LT Pro Light"/>
        </w:rPr>
        <w:t xml:space="preserve"> in 2020</w:t>
      </w:r>
      <w:r w:rsidR="00C73AAD">
        <w:rPr>
          <w:rFonts w:ascii="Avenir Next LT Pro Light" w:hAnsi="Avenir Next LT Pro Light"/>
        </w:rPr>
        <w:t xml:space="preserve"> en 2030</w:t>
      </w:r>
    </w:p>
    <w:tbl>
      <w:tblPr>
        <w:tblStyle w:val="Tabelrast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987"/>
        <w:gridCol w:w="2987"/>
      </w:tblGrid>
      <w:tr w:rsidR="00C73AAD" w:rsidRPr="00A83964" w14:paraId="25200188" w14:textId="77777777" w:rsidTr="00C73AAD">
        <w:tc>
          <w:tcPr>
            <w:tcW w:w="1488" w:type="pct"/>
            <w:tcBorders>
              <w:top w:val="single" w:sz="4" w:space="0" w:color="auto"/>
              <w:bottom w:val="single" w:sz="4" w:space="0" w:color="auto"/>
            </w:tcBorders>
            <w:shd w:val="clear" w:color="auto" w:fill="7F7F7F" w:themeFill="text1" w:themeFillTint="80"/>
          </w:tcPr>
          <w:p w14:paraId="3965160D" w14:textId="77777777" w:rsidR="00C73AAD" w:rsidRPr="00A83964" w:rsidRDefault="00C73AAD" w:rsidP="000131EB">
            <w:pPr>
              <w:spacing w:line="276" w:lineRule="auto"/>
              <w:rPr>
                <w:rFonts w:ascii="Avenir Next LT Pro Light" w:hAnsi="Avenir Next LT Pro Light"/>
                <w:color w:val="FFFFFF" w:themeColor="background1"/>
                <w:szCs w:val="20"/>
              </w:rPr>
            </w:pPr>
          </w:p>
        </w:tc>
        <w:tc>
          <w:tcPr>
            <w:tcW w:w="1756" w:type="pct"/>
            <w:tcBorders>
              <w:top w:val="single" w:sz="4" w:space="0" w:color="auto"/>
              <w:bottom w:val="single" w:sz="4" w:space="0" w:color="auto"/>
            </w:tcBorders>
            <w:shd w:val="clear" w:color="auto" w:fill="7F7F7F" w:themeFill="text1" w:themeFillTint="80"/>
          </w:tcPr>
          <w:p w14:paraId="760BCC35" w14:textId="77777777" w:rsidR="00C73AAD" w:rsidRPr="00A83964" w:rsidRDefault="00C73AAD" w:rsidP="000131EB">
            <w:pPr>
              <w:spacing w:line="276" w:lineRule="auto"/>
              <w:jc w:val="right"/>
              <w:rPr>
                <w:rFonts w:ascii="Avenir Next LT Pro Light" w:hAnsi="Avenir Next LT Pro Light"/>
                <w:color w:val="FFFFFF" w:themeColor="background1"/>
                <w:szCs w:val="20"/>
              </w:rPr>
            </w:pPr>
            <w:r>
              <w:rPr>
                <w:rFonts w:ascii="Avenir Next LT Pro Light" w:hAnsi="Avenir Next LT Pro Light"/>
                <w:color w:val="FFFFFF" w:themeColor="background1"/>
                <w:szCs w:val="20"/>
              </w:rPr>
              <w:t>2020</w:t>
            </w:r>
          </w:p>
        </w:tc>
        <w:tc>
          <w:tcPr>
            <w:tcW w:w="1756" w:type="pct"/>
            <w:tcBorders>
              <w:top w:val="single" w:sz="4" w:space="0" w:color="auto"/>
              <w:bottom w:val="single" w:sz="4" w:space="0" w:color="auto"/>
            </w:tcBorders>
            <w:shd w:val="clear" w:color="auto" w:fill="7F7F7F" w:themeFill="text1" w:themeFillTint="80"/>
          </w:tcPr>
          <w:p w14:paraId="3DA60524" w14:textId="77777777" w:rsidR="00C73AAD" w:rsidRDefault="00C73AAD" w:rsidP="000131EB">
            <w:pPr>
              <w:spacing w:line="276" w:lineRule="auto"/>
              <w:jc w:val="right"/>
              <w:rPr>
                <w:rFonts w:ascii="Avenir Next LT Pro Light" w:hAnsi="Avenir Next LT Pro Light"/>
                <w:color w:val="FFFFFF" w:themeColor="background1"/>
                <w:szCs w:val="20"/>
              </w:rPr>
            </w:pPr>
            <w:r>
              <w:rPr>
                <w:rFonts w:ascii="Avenir Next LT Pro Light" w:hAnsi="Avenir Next LT Pro Light"/>
                <w:color w:val="FFFFFF" w:themeColor="background1"/>
                <w:szCs w:val="20"/>
              </w:rPr>
              <w:t>2030</w:t>
            </w:r>
          </w:p>
        </w:tc>
      </w:tr>
      <w:tr w:rsidR="00CE56CA" w:rsidRPr="00A83964" w14:paraId="582753B4" w14:textId="77777777" w:rsidTr="00C73AAD">
        <w:tc>
          <w:tcPr>
            <w:tcW w:w="1488" w:type="pct"/>
            <w:tcBorders>
              <w:top w:val="single" w:sz="4" w:space="0" w:color="auto"/>
              <w:bottom w:val="nil"/>
            </w:tcBorders>
          </w:tcPr>
          <w:p w14:paraId="57E794DF" w14:textId="77777777" w:rsidR="00CE56CA" w:rsidRPr="00A83964" w:rsidRDefault="00CE56CA" w:rsidP="000131EB">
            <w:pPr>
              <w:spacing w:line="276" w:lineRule="auto"/>
              <w:rPr>
                <w:rFonts w:ascii="Avenir Next LT Pro Light" w:hAnsi="Avenir Next LT Pro Light"/>
                <w:szCs w:val="20"/>
              </w:rPr>
            </w:pPr>
            <w:r w:rsidRPr="00A83964">
              <w:rPr>
                <w:rFonts w:ascii="Avenir Next LT Pro Light" w:hAnsi="Avenir Next LT Pro Light"/>
                <w:szCs w:val="20"/>
              </w:rPr>
              <w:t xml:space="preserve">Publiek </w:t>
            </w:r>
          </w:p>
        </w:tc>
        <w:tc>
          <w:tcPr>
            <w:tcW w:w="1756" w:type="pct"/>
            <w:tcBorders>
              <w:top w:val="single" w:sz="4" w:space="0" w:color="auto"/>
              <w:bottom w:val="nil"/>
            </w:tcBorders>
          </w:tcPr>
          <w:p w14:paraId="6A472060" w14:textId="40F050AC" w:rsidR="00CE56CA" w:rsidRPr="00A83964" w:rsidRDefault="00CE56CA" w:rsidP="000131EB">
            <w:pPr>
              <w:spacing w:line="276" w:lineRule="auto"/>
              <w:jc w:val="right"/>
              <w:rPr>
                <w:rFonts w:ascii="Avenir Next LT Pro Light" w:hAnsi="Avenir Next LT Pro Light"/>
                <w:szCs w:val="20"/>
              </w:rPr>
            </w:pPr>
            <w:r w:rsidRPr="009B3910">
              <w:t>6.800</w:t>
            </w:r>
          </w:p>
        </w:tc>
        <w:tc>
          <w:tcPr>
            <w:tcW w:w="1756" w:type="pct"/>
            <w:tcBorders>
              <w:top w:val="single" w:sz="4" w:space="0" w:color="auto"/>
              <w:bottom w:val="nil"/>
            </w:tcBorders>
          </w:tcPr>
          <w:p w14:paraId="45B1FC42" w14:textId="5E53B2F2" w:rsidR="00CE56CA" w:rsidRPr="00456D71" w:rsidRDefault="00CE56CA" w:rsidP="000131EB">
            <w:pPr>
              <w:spacing w:line="276" w:lineRule="auto"/>
              <w:jc w:val="right"/>
              <w:rPr>
                <w:rFonts w:ascii="Avenir Next LT Pro Light" w:hAnsi="Avenir Next LT Pro Light"/>
                <w:szCs w:val="20"/>
              </w:rPr>
            </w:pPr>
            <w:r w:rsidRPr="009B3910">
              <w:t>76.100</w:t>
            </w:r>
          </w:p>
        </w:tc>
      </w:tr>
      <w:tr w:rsidR="00CE56CA" w:rsidRPr="00A83964" w14:paraId="0CAC95E9" w14:textId="77777777" w:rsidTr="00C73AAD">
        <w:tc>
          <w:tcPr>
            <w:tcW w:w="1488" w:type="pct"/>
            <w:tcBorders>
              <w:top w:val="nil"/>
              <w:bottom w:val="nil"/>
            </w:tcBorders>
          </w:tcPr>
          <w:p w14:paraId="77C31786" w14:textId="77777777" w:rsidR="00CE56CA" w:rsidRPr="00A83964" w:rsidRDefault="00CE56CA" w:rsidP="000131EB">
            <w:pPr>
              <w:spacing w:line="276" w:lineRule="auto"/>
              <w:rPr>
                <w:rFonts w:ascii="Avenir Next LT Pro Light" w:hAnsi="Avenir Next LT Pro Light"/>
                <w:szCs w:val="20"/>
              </w:rPr>
            </w:pPr>
            <w:r>
              <w:rPr>
                <w:rFonts w:ascii="Avenir Next LT Pro Light" w:hAnsi="Avenir Next LT Pro Light"/>
                <w:szCs w:val="20"/>
              </w:rPr>
              <w:t>Privaat</w:t>
            </w:r>
          </w:p>
        </w:tc>
        <w:tc>
          <w:tcPr>
            <w:tcW w:w="1756" w:type="pct"/>
            <w:tcBorders>
              <w:top w:val="nil"/>
              <w:bottom w:val="nil"/>
            </w:tcBorders>
          </w:tcPr>
          <w:p w14:paraId="126A688B" w14:textId="4C04CD4C" w:rsidR="00CE56CA" w:rsidRPr="00456D71" w:rsidRDefault="00CE56CA" w:rsidP="000131EB">
            <w:pPr>
              <w:spacing w:line="276" w:lineRule="auto"/>
              <w:jc w:val="right"/>
              <w:rPr>
                <w:rFonts w:ascii="Avenir Next LT Pro Light" w:hAnsi="Avenir Next LT Pro Light"/>
                <w:szCs w:val="20"/>
              </w:rPr>
            </w:pPr>
            <w:r w:rsidRPr="009B3910">
              <w:t>27.000</w:t>
            </w:r>
          </w:p>
        </w:tc>
        <w:tc>
          <w:tcPr>
            <w:tcW w:w="1756" w:type="pct"/>
            <w:tcBorders>
              <w:top w:val="nil"/>
              <w:bottom w:val="nil"/>
            </w:tcBorders>
          </w:tcPr>
          <w:p w14:paraId="17394F86" w14:textId="6F44BF36" w:rsidR="00CE56CA" w:rsidRDefault="00CE56CA" w:rsidP="000131EB">
            <w:pPr>
              <w:spacing w:line="276" w:lineRule="auto"/>
              <w:jc w:val="right"/>
              <w:rPr>
                <w:rFonts w:ascii="Avenir Next LT Pro Light" w:hAnsi="Avenir Next LT Pro Light"/>
                <w:szCs w:val="20"/>
              </w:rPr>
            </w:pPr>
            <w:r w:rsidRPr="009B3910">
              <w:t>149.400</w:t>
            </w:r>
          </w:p>
        </w:tc>
      </w:tr>
      <w:tr w:rsidR="00CE56CA" w:rsidRPr="00A83964" w14:paraId="55FE4916" w14:textId="77777777" w:rsidTr="00C73AAD">
        <w:tc>
          <w:tcPr>
            <w:tcW w:w="1488" w:type="pct"/>
            <w:tcBorders>
              <w:top w:val="nil"/>
            </w:tcBorders>
          </w:tcPr>
          <w:p w14:paraId="53FFB108" w14:textId="77777777" w:rsidR="00CE56CA" w:rsidRPr="00A83964" w:rsidRDefault="00CE56CA" w:rsidP="000131EB">
            <w:pPr>
              <w:spacing w:line="276" w:lineRule="auto"/>
              <w:rPr>
                <w:rFonts w:ascii="Avenir Next LT Pro Light" w:hAnsi="Avenir Next LT Pro Light"/>
                <w:szCs w:val="20"/>
              </w:rPr>
            </w:pPr>
            <w:r>
              <w:rPr>
                <w:rFonts w:ascii="Avenir Next LT Pro Light" w:hAnsi="Avenir Next LT Pro Light"/>
                <w:szCs w:val="20"/>
              </w:rPr>
              <w:t>Semi-publiek</w:t>
            </w:r>
          </w:p>
        </w:tc>
        <w:tc>
          <w:tcPr>
            <w:tcW w:w="1756" w:type="pct"/>
            <w:tcBorders>
              <w:top w:val="nil"/>
            </w:tcBorders>
          </w:tcPr>
          <w:p w14:paraId="13377240" w14:textId="77BB2B70" w:rsidR="00CE56CA" w:rsidRPr="00A83964" w:rsidRDefault="00CE56CA" w:rsidP="000131EB">
            <w:pPr>
              <w:spacing w:line="276" w:lineRule="auto"/>
              <w:jc w:val="right"/>
              <w:rPr>
                <w:rFonts w:ascii="Avenir Next LT Pro Light" w:hAnsi="Avenir Next LT Pro Light"/>
                <w:szCs w:val="20"/>
              </w:rPr>
            </w:pPr>
            <w:r w:rsidRPr="009B3910">
              <w:t>8.800</w:t>
            </w:r>
          </w:p>
        </w:tc>
        <w:tc>
          <w:tcPr>
            <w:tcW w:w="1756" w:type="pct"/>
            <w:tcBorders>
              <w:top w:val="nil"/>
            </w:tcBorders>
          </w:tcPr>
          <w:p w14:paraId="5126BBC5" w14:textId="627E5FA5" w:rsidR="00CE56CA" w:rsidRPr="00456D71" w:rsidRDefault="00CE56CA" w:rsidP="000131EB">
            <w:pPr>
              <w:spacing w:line="276" w:lineRule="auto"/>
              <w:jc w:val="right"/>
              <w:rPr>
                <w:rFonts w:ascii="Avenir Next LT Pro Light" w:hAnsi="Avenir Next LT Pro Light"/>
                <w:szCs w:val="20"/>
              </w:rPr>
            </w:pPr>
            <w:r w:rsidRPr="009B3910">
              <w:t>108.700</w:t>
            </w:r>
          </w:p>
        </w:tc>
      </w:tr>
      <w:tr w:rsidR="00CE56CA" w:rsidRPr="00A83964" w14:paraId="10E26E69" w14:textId="77777777" w:rsidTr="00C73AAD">
        <w:tc>
          <w:tcPr>
            <w:tcW w:w="1488" w:type="pct"/>
            <w:tcBorders>
              <w:bottom w:val="single" w:sz="4" w:space="0" w:color="auto"/>
            </w:tcBorders>
          </w:tcPr>
          <w:p w14:paraId="1746A6A3" w14:textId="77777777" w:rsidR="00CE56CA" w:rsidRPr="00A83964" w:rsidRDefault="00CE56CA" w:rsidP="000131EB">
            <w:pPr>
              <w:spacing w:line="276" w:lineRule="auto"/>
              <w:rPr>
                <w:rFonts w:ascii="Avenir Next LT Pro Light" w:hAnsi="Avenir Next LT Pro Light"/>
                <w:szCs w:val="20"/>
              </w:rPr>
            </w:pPr>
            <w:r w:rsidRPr="00A83964">
              <w:rPr>
                <w:rFonts w:ascii="Avenir Next LT Pro Light" w:hAnsi="Avenir Next LT Pro Light"/>
                <w:szCs w:val="20"/>
              </w:rPr>
              <w:t>Snelladen</w:t>
            </w:r>
          </w:p>
        </w:tc>
        <w:tc>
          <w:tcPr>
            <w:tcW w:w="1756" w:type="pct"/>
            <w:tcBorders>
              <w:bottom w:val="single" w:sz="4" w:space="0" w:color="auto"/>
            </w:tcBorders>
          </w:tcPr>
          <w:p w14:paraId="0C73864C" w14:textId="583756A3" w:rsidR="00CE56CA" w:rsidRPr="00A83964" w:rsidRDefault="00CE56CA" w:rsidP="000131EB">
            <w:pPr>
              <w:spacing w:line="276" w:lineRule="auto"/>
              <w:jc w:val="right"/>
              <w:rPr>
                <w:rFonts w:ascii="Avenir Next LT Pro Light" w:hAnsi="Avenir Next LT Pro Light"/>
                <w:szCs w:val="20"/>
              </w:rPr>
            </w:pPr>
            <w:r w:rsidRPr="009B3910">
              <w:t>305</w:t>
            </w:r>
          </w:p>
        </w:tc>
        <w:tc>
          <w:tcPr>
            <w:tcW w:w="1756" w:type="pct"/>
            <w:tcBorders>
              <w:bottom w:val="single" w:sz="4" w:space="0" w:color="auto"/>
            </w:tcBorders>
          </w:tcPr>
          <w:p w14:paraId="46F3C53C" w14:textId="5E03A173" w:rsidR="00CE56CA" w:rsidRPr="00456D71" w:rsidRDefault="00CE56CA" w:rsidP="000131EB">
            <w:pPr>
              <w:spacing w:line="276" w:lineRule="auto"/>
              <w:jc w:val="right"/>
              <w:rPr>
                <w:rFonts w:ascii="Avenir Next LT Pro Light" w:hAnsi="Avenir Next LT Pro Light"/>
                <w:szCs w:val="20"/>
              </w:rPr>
            </w:pPr>
            <w:r w:rsidRPr="009B3910">
              <w:t>1.900</w:t>
            </w:r>
          </w:p>
        </w:tc>
      </w:tr>
      <w:tr w:rsidR="00CE56CA" w:rsidRPr="00A83964" w14:paraId="2D861830" w14:textId="77777777" w:rsidTr="00C73AAD">
        <w:tc>
          <w:tcPr>
            <w:tcW w:w="1488" w:type="pct"/>
            <w:tcBorders>
              <w:top w:val="single" w:sz="4" w:space="0" w:color="auto"/>
              <w:bottom w:val="single" w:sz="4" w:space="0" w:color="auto"/>
            </w:tcBorders>
          </w:tcPr>
          <w:p w14:paraId="59B25CED" w14:textId="77777777" w:rsidR="00CE56CA" w:rsidRPr="00A83964" w:rsidRDefault="00CE56CA" w:rsidP="000131EB">
            <w:pPr>
              <w:spacing w:line="276" w:lineRule="auto"/>
              <w:rPr>
                <w:rFonts w:ascii="Avenir Next LT Pro Light" w:hAnsi="Avenir Next LT Pro Light"/>
                <w:b/>
                <w:bCs/>
                <w:szCs w:val="20"/>
              </w:rPr>
            </w:pPr>
            <w:r w:rsidRPr="00A83964">
              <w:rPr>
                <w:rFonts w:ascii="Avenir Next LT Pro Light" w:hAnsi="Avenir Next LT Pro Light"/>
                <w:b/>
                <w:bCs/>
                <w:szCs w:val="20"/>
              </w:rPr>
              <w:t xml:space="preserve">Totaal </w:t>
            </w:r>
          </w:p>
        </w:tc>
        <w:tc>
          <w:tcPr>
            <w:tcW w:w="1756" w:type="pct"/>
            <w:tcBorders>
              <w:top w:val="single" w:sz="4" w:space="0" w:color="auto"/>
              <w:bottom w:val="single" w:sz="4" w:space="0" w:color="auto"/>
            </w:tcBorders>
          </w:tcPr>
          <w:p w14:paraId="2AA3E570" w14:textId="20B681B9" w:rsidR="00CE56CA" w:rsidRPr="00456D71" w:rsidRDefault="00CE56CA" w:rsidP="000131EB">
            <w:pPr>
              <w:spacing w:line="276" w:lineRule="auto"/>
              <w:jc w:val="right"/>
              <w:rPr>
                <w:rFonts w:ascii="Avenir Next LT Pro Light" w:hAnsi="Avenir Next LT Pro Light"/>
                <w:b/>
                <w:bCs/>
                <w:szCs w:val="20"/>
              </w:rPr>
            </w:pPr>
            <w:r w:rsidRPr="009B3910">
              <w:t>42.905</w:t>
            </w:r>
          </w:p>
        </w:tc>
        <w:tc>
          <w:tcPr>
            <w:tcW w:w="1756" w:type="pct"/>
            <w:tcBorders>
              <w:top w:val="single" w:sz="4" w:space="0" w:color="auto"/>
              <w:bottom w:val="single" w:sz="4" w:space="0" w:color="auto"/>
            </w:tcBorders>
          </w:tcPr>
          <w:p w14:paraId="6CA5BE65" w14:textId="149B69FB" w:rsidR="00CE56CA" w:rsidRPr="00456D71" w:rsidRDefault="00CE56CA" w:rsidP="000131EB">
            <w:pPr>
              <w:spacing w:line="276" w:lineRule="auto"/>
              <w:jc w:val="right"/>
              <w:rPr>
                <w:rFonts w:ascii="Avenir Next LT Pro Light" w:hAnsi="Avenir Next LT Pro Light"/>
                <w:b/>
                <w:bCs/>
                <w:szCs w:val="20"/>
              </w:rPr>
            </w:pPr>
            <w:r w:rsidRPr="009B3910">
              <w:t>336.100</w:t>
            </w:r>
          </w:p>
        </w:tc>
      </w:tr>
    </w:tbl>
    <w:p w14:paraId="0C5AA7B5" w14:textId="77777777" w:rsidR="00FC356E" w:rsidRPr="00A83964" w:rsidRDefault="00C26B0F" w:rsidP="000131EB">
      <w:pPr>
        <w:spacing w:after="0" w:line="276" w:lineRule="auto"/>
        <w:rPr>
          <w:rFonts w:ascii="Avenir Next LT Pro Light" w:hAnsi="Avenir Next LT Pro Light"/>
          <w:sz w:val="18"/>
          <w:szCs w:val="18"/>
        </w:rPr>
      </w:pPr>
      <w:r w:rsidRPr="00A83964">
        <w:rPr>
          <w:rFonts w:ascii="Avenir Next LT Pro Light" w:hAnsi="Avenir Next LT Pro Light"/>
          <w:sz w:val="18"/>
          <w:szCs w:val="18"/>
        </w:rPr>
        <w:t xml:space="preserve">Bron: APPM </w:t>
      </w:r>
      <w:r w:rsidR="001F035C">
        <w:rPr>
          <w:rFonts w:ascii="Avenir Next LT Pro Light" w:hAnsi="Avenir Next LT Pro Light"/>
          <w:sz w:val="18"/>
          <w:szCs w:val="18"/>
        </w:rPr>
        <w:t xml:space="preserve">in opdracht van NAL </w:t>
      </w:r>
      <w:r w:rsidRPr="00A83964">
        <w:rPr>
          <w:rFonts w:ascii="Avenir Next LT Pro Light" w:hAnsi="Avenir Next LT Pro Light"/>
          <w:sz w:val="18"/>
          <w:szCs w:val="18"/>
        </w:rPr>
        <w:t xml:space="preserve">(2019). </w:t>
      </w:r>
      <w:r w:rsidRPr="00A83964">
        <w:rPr>
          <w:rFonts w:ascii="Avenir Next LT Pro Light" w:hAnsi="Avenir Next LT Pro Light"/>
          <w:i/>
          <w:iCs/>
          <w:sz w:val="18"/>
          <w:szCs w:val="18"/>
        </w:rPr>
        <w:t>Prognose laadinfrastructuur</w:t>
      </w:r>
      <w:r w:rsidRPr="00A83964">
        <w:rPr>
          <w:rFonts w:ascii="Avenir Next LT Pro Light" w:hAnsi="Avenir Next LT Pro Light"/>
          <w:sz w:val="18"/>
          <w:szCs w:val="18"/>
        </w:rPr>
        <w:t xml:space="preserve">. </w:t>
      </w:r>
      <w:r w:rsidRPr="00A83964">
        <w:rPr>
          <w:rFonts w:ascii="Avenir Next LT Pro Light" w:hAnsi="Avenir Next LT Pro Light"/>
          <w:i/>
          <w:iCs/>
          <w:sz w:val="18"/>
          <w:szCs w:val="18"/>
        </w:rPr>
        <w:t>Bewerkt door MRA-</w:t>
      </w:r>
      <w:r w:rsidR="00456D71">
        <w:rPr>
          <w:rFonts w:ascii="Avenir Next LT Pro Light" w:hAnsi="Avenir Next LT Pro Light"/>
          <w:i/>
          <w:iCs/>
          <w:sz w:val="18"/>
          <w:szCs w:val="18"/>
        </w:rPr>
        <w:t>E</w:t>
      </w:r>
      <w:r w:rsidRPr="00A83964">
        <w:rPr>
          <w:rFonts w:ascii="Avenir Next LT Pro Light" w:hAnsi="Avenir Next LT Pro Light"/>
          <w:i/>
          <w:iCs/>
          <w:sz w:val="18"/>
          <w:szCs w:val="18"/>
        </w:rPr>
        <w:t>.</w:t>
      </w:r>
    </w:p>
    <w:p w14:paraId="0CE07C0F" w14:textId="64F5EDC2" w:rsidR="00C73AAD" w:rsidRDefault="0098002E" w:rsidP="000131EB">
      <w:pPr>
        <w:spacing w:after="0" w:line="276" w:lineRule="auto"/>
        <w:rPr>
          <w:rFonts w:ascii="Avenir Next LT Pro Light" w:hAnsi="Avenir Next LT Pro Light"/>
        </w:rPr>
      </w:pPr>
      <w:r w:rsidRPr="00A83964">
        <w:rPr>
          <w:rFonts w:ascii="Avenir Next LT Pro Light" w:hAnsi="Avenir Next LT Pro Light"/>
        </w:rPr>
        <w:br/>
        <w:t>Om de komende jaren voldoende publieke laadpalen te kunnen blijven plaatsen, is in 2019 via een aanbesteding een opdracht uitgezet voor het realiseren van 20.000 laadpunten (ca. 10.000 laadpalen), bovenop de operationele laadpunten. Pitpoint</w:t>
      </w:r>
      <w:r w:rsidR="007154D6">
        <w:rPr>
          <w:rFonts w:ascii="Avenir Next LT Pro Light" w:hAnsi="Avenir Next LT Pro Light"/>
        </w:rPr>
        <w:t xml:space="preserve"> (Total)</w:t>
      </w:r>
      <w:r w:rsidRPr="00A83964">
        <w:rPr>
          <w:rFonts w:ascii="Avenir Next LT Pro Light" w:hAnsi="Avenir Next LT Pro Light"/>
        </w:rPr>
        <w:t xml:space="preserve"> levert en exploiteert de laadpalen die allen duurzame stroom leveren afkomstig van </w:t>
      </w:r>
      <w:r w:rsidR="001F035C">
        <w:rPr>
          <w:rFonts w:ascii="Avenir Next LT Pro Light" w:hAnsi="Avenir Next LT Pro Light"/>
        </w:rPr>
        <w:t xml:space="preserve">windparken, </w:t>
      </w:r>
      <w:r w:rsidRPr="00A83964">
        <w:rPr>
          <w:rFonts w:ascii="Avenir Next LT Pro Light" w:hAnsi="Avenir Next LT Pro Light"/>
        </w:rPr>
        <w:t xml:space="preserve">zonneparken en zonnedaken. </w:t>
      </w:r>
    </w:p>
    <w:p w14:paraId="1ED1927C" w14:textId="77777777" w:rsidR="00676535" w:rsidRDefault="00676535" w:rsidP="000131EB">
      <w:pPr>
        <w:spacing w:after="0" w:line="276" w:lineRule="auto"/>
        <w:rPr>
          <w:rFonts w:ascii="Avenir Next LT Pro Light" w:hAnsi="Avenir Next LT Pro Light"/>
        </w:rPr>
      </w:pPr>
    </w:p>
    <w:p w14:paraId="1B0412DC" w14:textId="77777777" w:rsidR="00C73AAD" w:rsidRPr="0095499A" w:rsidRDefault="00A630B5" w:rsidP="000131EB">
      <w:pPr>
        <w:spacing w:after="0" w:line="276" w:lineRule="auto"/>
        <w:rPr>
          <w:rFonts w:ascii="Avenir Next LT Pro Light" w:hAnsi="Avenir Next LT Pro Light"/>
        </w:rPr>
      </w:pPr>
      <w:r w:rsidRPr="00A630B5">
        <w:rPr>
          <w:rFonts w:ascii="Avenir Next LT Pro Light" w:hAnsi="Avenir Next LT Pro Light"/>
        </w:rPr>
        <w:t>Onderstaande figuur laat de verwachting zien van het aantal te realiseren</w:t>
      </w:r>
      <w:r>
        <w:rPr>
          <w:rFonts w:ascii="Avenir Next LT Pro Light" w:hAnsi="Avenir Next LT Pro Light"/>
        </w:rPr>
        <w:t xml:space="preserve"> publieke</w:t>
      </w:r>
      <w:r w:rsidRPr="00A630B5">
        <w:rPr>
          <w:rFonts w:ascii="Avenir Next LT Pro Light" w:hAnsi="Avenir Next LT Pro Light"/>
        </w:rPr>
        <w:t xml:space="preserve"> laadpunten via de aanbesteding die nu loopt en de aanbestedingen die in de toekomst nog worden uitgezet. Zoals eerder benoemd zien w</w:t>
      </w:r>
      <w:r w:rsidRPr="0095499A">
        <w:rPr>
          <w:rFonts w:ascii="Avenir Next LT Pro Light" w:hAnsi="Avenir Next LT Pro Light"/>
        </w:rPr>
        <w:t>e de prognoses als een richtlijn. Door het blijven monitoren van de ontwikkelingen</w:t>
      </w:r>
      <w:r w:rsidR="0095499A">
        <w:rPr>
          <w:rFonts w:ascii="Avenir Next LT Pro Light" w:hAnsi="Avenir Next LT Pro Light"/>
        </w:rPr>
        <w:t xml:space="preserve"> kan het gewenste aantal laadpalen nog veranderen. </w:t>
      </w:r>
      <w:r w:rsidRPr="0095499A">
        <w:rPr>
          <w:rFonts w:ascii="Avenir Next LT Pro Light" w:hAnsi="Avenir Next LT Pro Light"/>
        </w:rPr>
        <w:t xml:space="preserve"> </w:t>
      </w:r>
    </w:p>
    <w:p w14:paraId="0654395F" w14:textId="77777777" w:rsidR="00C73AAD" w:rsidRDefault="00C73AAD" w:rsidP="000131EB">
      <w:pPr>
        <w:spacing w:after="0" w:line="276" w:lineRule="auto"/>
        <w:rPr>
          <w:rFonts w:ascii="Avenir Next LT Pro Light" w:hAnsi="Avenir Next LT Pro Light"/>
        </w:rPr>
      </w:pPr>
    </w:p>
    <w:p w14:paraId="6829B4DF" w14:textId="424FA447" w:rsidR="001C40D4" w:rsidRDefault="00906544" w:rsidP="000131EB">
      <w:pPr>
        <w:keepNext/>
        <w:spacing w:after="0" w:line="276" w:lineRule="auto"/>
      </w:pPr>
      <w:r>
        <w:rPr>
          <w:noProof/>
        </w:rPr>
        <w:drawing>
          <wp:inline distT="0" distB="0" distL="0" distR="0" wp14:anchorId="045E148F" wp14:editId="41F9B159">
            <wp:extent cx="5400675" cy="3481070"/>
            <wp:effectExtent l="0" t="0" r="9525"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3481070"/>
                    </a:xfrm>
                    <a:prstGeom prst="rect">
                      <a:avLst/>
                    </a:prstGeom>
                  </pic:spPr>
                </pic:pic>
              </a:graphicData>
            </a:graphic>
          </wp:inline>
        </w:drawing>
      </w:r>
    </w:p>
    <w:p w14:paraId="230CB42B" w14:textId="14867CAB" w:rsidR="001C40D4" w:rsidRPr="001C40D4" w:rsidRDefault="001C40D4" w:rsidP="000131EB">
      <w:pPr>
        <w:pStyle w:val="Bijschrift"/>
        <w:spacing w:line="276" w:lineRule="auto"/>
        <w:rPr>
          <w:rFonts w:ascii="Avenir Next LT Pro Light" w:hAnsi="Avenir Next LT Pro Light"/>
          <w:color w:val="auto"/>
        </w:rPr>
      </w:pPr>
      <w:r w:rsidRPr="001C40D4">
        <w:rPr>
          <w:rFonts w:ascii="Avenir Next LT Pro Light" w:hAnsi="Avenir Next LT Pro Light"/>
          <w:color w:val="auto"/>
        </w:rPr>
        <w:t xml:space="preserve">Figuur </w:t>
      </w:r>
      <w:r w:rsidR="00EC20DF">
        <w:rPr>
          <w:rFonts w:ascii="Avenir Next LT Pro Light" w:hAnsi="Avenir Next LT Pro Light"/>
          <w:color w:val="auto"/>
        </w:rPr>
        <w:fldChar w:fldCharType="begin"/>
      </w:r>
      <w:r w:rsidR="00EC20DF">
        <w:rPr>
          <w:rFonts w:ascii="Avenir Next LT Pro Light" w:hAnsi="Avenir Next LT Pro Light"/>
          <w:color w:val="auto"/>
        </w:rPr>
        <w:instrText xml:space="preserve"> STYLEREF 1 \s </w:instrText>
      </w:r>
      <w:r w:rsidR="00EC20DF">
        <w:rPr>
          <w:rFonts w:ascii="Avenir Next LT Pro Light" w:hAnsi="Avenir Next LT Pro Light"/>
          <w:color w:val="auto"/>
        </w:rPr>
        <w:fldChar w:fldCharType="separate"/>
      </w:r>
      <w:r w:rsidR="00677C1D">
        <w:rPr>
          <w:rFonts w:ascii="Avenir Next LT Pro Light" w:hAnsi="Avenir Next LT Pro Light"/>
          <w:noProof/>
          <w:color w:val="auto"/>
        </w:rPr>
        <w:t>2</w:t>
      </w:r>
      <w:r w:rsidR="00EC20DF">
        <w:rPr>
          <w:rFonts w:ascii="Avenir Next LT Pro Light" w:hAnsi="Avenir Next LT Pro Light"/>
          <w:color w:val="auto"/>
        </w:rPr>
        <w:fldChar w:fldCharType="end"/>
      </w:r>
      <w:r w:rsidR="00EC20DF">
        <w:rPr>
          <w:rFonts w:ascii="Avenir Next LT Pro Light" w:hAnsi="Avenir Next LT Pro Light"/>
          <w:color w:val="auto"/>
        </w:rPr>
        <w:noBreakHyphen/>
      </w:r>
      <w:r w:rsidR="00EC20DF">
        <w:rPr>
          <w:rFonts w:ascii="Avenir Next LT Pro Light" w:hAnsi="Avenir Next LT Pro Light"/>
          <w:color w:val="auto"/>
        </w:rPr>
        <w:fldChar w:fldCharType="begin"/>
      </w:r>
      <w:r w:rsidR="00EC20DF">
        <w:rPr>
          <w:rFonts w:ascii="Avenir Next LT Pro Light" w:hAnsi="Avenir Next LT Pro Light"/>
          <w:color w:val="auto"/>
        </w:rPr>
        <w:instrText xml:space="preserve"> SEQ Figuur \* ARABIC \s 1 </w:instrText>
      </w:r>
      <w:r w:rsidR="00EC20DF">
        <w:rPr>
          <w:rFonts w:ascii="Avenir Next LT Pro Light" w:hAnsi="Avenir Next LT Pro Light"/>
          <w:color w:val="auto"/>
        </w:rPr>
        <w:fldChar w:fldCharType="separate"/>
      </w:r>
      <w:r w:rsidR="00677C1D">
        <w:rPr>
          <w:rFonts w:ascii="Avenir Next LT Pro Light" w:hAnsi="Avenir Next LT Pro Light"/>
          <w:noProof/>
          <w:color w:val="auto"/>
        </w:rPr>
        <w:t>1</w:t>
      </w:r>
      <w:r w:rsidR="00EC20DF">
        <w:rPr>
          <w:rFonts w:ascii="Avenir Next LT Pro Light" w:hAnsi="Avenir Next LT Pro Light"/>
          <w:color w:val="auto"/>
        </w:rPr>
        <w:fldChar w:fldCharType="end"/>
      </w:r>
      <w:r w:rsidRPr="001C40D4">
        <w:rPr>
          <w:rFonts w:ascii="Avenir Next LT Pro Light" w:hAnsi="Avenir Next LT Pro Light"/>
          <w:color w:val="auto"/>
        </w:rPr>
        <w:t xml:space="preserve"> Voorspelling aantallen laadpunten tot 2030 via aanbestedingen</w:t>
      </w:r>
    </w:p>
    <w:p w14:paraId="39689157" w14:textId="77777777" w:rsidR="0012708A" w:rsidRPr="000859B3" w:rsidRDefault="0012708A" w:rsidP="000131EB">
      <w:pPr>
        <w:pStyle w:val="Kop2"/>
        <w:spacing w:line="276" w:lineRule="auto"/>
      </w:pPr>
      <w:bookmarkStart w:id="9" w:name="_Toc71287696"/>
      <w:r w:rsidRPr="000859B3">
        <w:t>Ontwikkelingen emissievrij vervoer</w:t>
      </w:r>
      <w:bookmarkEnd w:id="9"/>
    </w:p>
    <w:p w14:paraId="7B9C8786" w14:textId="3954D350" w:rsidR="0012708A" w:rsidRDefault="0012708A" w:rsidP="000131EB">
      <w:pPr>
        <w:spacing w:after="0" w:line="276" w:lineRule="auto"/>
        <w:rPr>
          <w:rFonts w:ascii="Avenir Next LT Pro Light" w:hAnsi="Avenir Next LT Pro Light"/>
        </w:rPr>
      </w:pPr>
      <w:r w:rsidRPr="00A83964">
        <w:rPr>
          <w:rFonts w:ascii="Avenir Next LT Pro Light" w:hAnsi="Avenir Next LT Pro Light"/>
        </w:rPr>
        <w:t xml:space="preserve">De toekomst van emissievrij vervoer is nog volop in ontwikkeling. De manieren van laden, het type auto’s en type brandstoffen zijn nog niet uitgekristalliseerd. De verschillende typen brandstof (o.a. waterstof, elektriciteit, biobrandstoffen) zijn voor andere doeleinden inzetbaar. De ene brandstof heeft </w:t>
      </w:r>
      <w:r w:rsidRPr="00A83964">
        <w:rPr>
          <w:rFonts w:ascii="Avenir Next LT Pro Light" w:hAnsi="Avenir Next LT Pro Light"/>
        </w:rPr>
        <w:lastRenderedPageBreak/>
        <w:t xml:space="preserve">meer potentie voor zwaar (vracht)vervoer, terwijl de andere brandstof meer geschikt is voor personenauto’s. Doordat deze markt nog volop in ontwikkeling is hoeven er op dit moment nog geen definitieve keuzes gemaakt te worden. De verwachting is dat verschillende typen brandstoffen, laadoplossingen en auto’s naast elkaar bestaan. Op dit moment is elektrisch vervoer een bewezen techniek en komen er steeds meer modellen beschikbaar in de markt. </w:t>
      </w:r>
      <w:r w:rsidR="00A538D1">
        <w:rPr>
          <w:rFonts w:ascii="Avenir Next LT Pro Light" w:hAnsi="Avenir Next LT Pro Light"/>
        </w:rPr>
        <w:t xml:space="preserve">Daarnaast worden volledig elektrische voertuigen steeds betaalbaarder. </w:t>
      </w:r>
      <w:r w:rsidRPr="00A83964">
        <w:rPr>
          <w:rFonts w:ascii="Avenir Next LT Pro Light" w:hAnsi="Avenir Next LT Pro Light"/>
        </w:rPr>
        <w:t>Dat betekent dat elektrische voertuigen op dit moment al een bijdrage kunnen leveren aan het verbeteren van luchtkwaliteit en het behalen van klimaatdoelstellingen. Door</w:t>
      </w:r>
      <w:r w:rsidR="00150096">
        <w:rPr>
          <w:rFonts w:ascii="Avenir Next LT Pro Light" w:hAnsi="Avenir Next LT Pro Light"/>
        </w:rPr>
        <w:t xml:space="preserve">dat groei van de markt </w:t>
      </w:r>
      <w:r w:rsidRPr="00A83964">
        <w:rPr>
          <w:rFonts w:ascii="Avenir Next LT Pro Light" w:hAnsi="Avenir Next LT Pro Light"/>
        </w:rPr>
        <w:t xml:space="preserve">en </w:t>
      </w:r>
      <w:r w:rsidR="00150096">
        <w:rPr>
          <w:rFonts w:ascii="Avenir Next LT Pro Light" w:hAnsi="Avenir Next LT Pro Light"/>
        </w:rPr>
        <w:t>technologische vooruitgang</w:t>
      </w:r>
      <w:r w:rsidRPr="00A83964">
        <w:rPr>
          <w:rFonts w:ascii="Avenir Next LT Pro Light" w:hAnsi="Avenir Next LT Pro Light"/>
        </w:rPr>
        <w:t xml:space="preserve"> gaa</w:t>
      </w:r>
      <w:r w:rsidR="00150096">
        <w:rPr>
          <w:rFonts w:ascii="Avenir Next LT Pro Light" w:hAnsi="Avenir Next LT Pro Light"/>
        </w:rPr>
        <w:t>t</w:t>
      </w:r>
      <w:r w:rsidRPr="00A83964">
        <w:rPr>
          <w:rFonts w:ascii="Avenir Next LT Pro Light" w:hAnsi="Avenir Next LT Pro Light"/>
        </w:rPr>
        <w:t xml:space="preserve"> de actieradius en </w:t>
      </w:r>
      <w:r w:rsidR="00150096">
        <w:rPr>
          <w:rFonts w:ascii="Avenir Next LT Pro Light" w:hAnsi="Avenir Next LT Pro Light"/>
        </w:rPr>
        <w:t xml:space="preserve">de </w:t>
      </w:r>
      <w:r w:rsidRPr="00A83964">
        <w:rPr>
          <w:rFonts w:ascii="Avenir Next LT Pro Light" w:hAnsi="Avenir Next LT Pro Light"/>
        </w:rPr>
        <w:t>gebruiksvriendelijkheid van elektrische auto’s omhoog. De actieradius van elektrische auto’s is de afgelopen vijf jaar explosief gestegen. Van gemiddeld 150 km in 2013 tot 450 km in 2019</w:t>
      </w:r>
      <w:r w:rsidRPr="00A83964">
        <w:rPr>
          <w:rStyle w:val="Voetnootmarkering"/>
          <w:rFonts w:ascii="Avenir Next LT Pro Light" w:hAnsi="Avenir Next LT Pro Light"/>
        </w:rPr>
        <w:footnoteReference w:id="3"/>
      </w:r>
      <w:r w:rsidRPr="00A83964">
        <w:rPr>
          <w:rFonts w:ascii="Avenir Next LT Pro Light" w:hAnsi="Avenir Next LT Pro Light"/>
        </w:rPr>
        <w:t xml:space="preserve">. Dit heeft te maken met de ontwikkeling van batterijen en laadcapaciteit. Deze ontwikkelingen zorgen ervoor dat de prijs voor elektrische auto’s daalt. Daarnaast wordt de laadsnelheid van de laadpalen ook steeds hoger. De </w:t>
      </w:r>
      <w:r w:rsidR="003D31DB">
        <w:rPr>
          <w:rFonts w:ascii="Avenir Next LT Pro Light" w:hAnsi="Avenir Next LT Pro Light"/>
        </w:rPr>
        <w:t xml:space="preserve">fysieke omvang van </w:t>
      </w:r>
      <w:r w:rsidRPr="00A83964">
        <w:rPr>
          <w:rFonts w:ascii="Avenir Next LT Pro Light" w:hAnsi="Avenir Next LT Pro Light"/>
        </w:rPr>
        <w:t>batterijen word</w:t>
      </w:r>
      <w:r w:rsidR="003D31DB">
        <w:rPr>
          <w:rFonts w:ascii="Avenir Next LT Pro Light" w:hAnsi="Avenir Next LT Pro Light"/>
        </w:rPr>
        <w:t>t</w:t>
      </w:r>
      <w:r w:rsidRPr="00A83964">
        <w:rPr>
          <w:rFonts w:ascii="Avenir Next LT Pro Light" w:hAnsi="Avenir Next LT Pro Light"/>
        </w:rPr>
        <w:t xml:space="preserve"> kleiner en </w:t>
      </w:r>
      <w:r w:rsidR="003D31DB">
        <w:rPr>
          <w:rFonts w:ascii="Avenir Next LT Pro Light" w:hAnsi="Avenir Next LT Pro Light"/>
        </w:rPr>
        <w:t xml:space="preserve">de batterij wordt </w:t>
      </w:r>
      <w:r w:rsidRPr="00A83964">
        <w:rPr>
          <w:rFonts w:ascii="Avenir Next LT Pro Light" w:hAnsi="Avenir Next LT Pro Light"/>
        </w:rPr>
        <w:t>goedkoper</w:t>
      </w:r>
      <w:r w:rsidR="003D31DB">
        <w:rPr>
          <w:rFonts w:ascii="Avenir Next LT Pro Light" w:hAnsi="Avenir Next LT Pro Light"/>
        </w:rPr>
        <w:t>. D</w:t>
      </w:r>
      <w:r w:rsidRPr="00A83964">
        <w:rPr>
          <w:rFonts w:ascii="Avenir Next LT Pro Light" w:hAnsi="Avenir Next LT Pro Light"/>
        </w:rPr>
        <w:t>aarnaast worden stappen gemaakt om (grondstoffen uit) de batterijen te recyclen. De belangrijkste metalen (nikkel, koper en kobalt) worden al bijna volledig gerecycled. Voor andere grondstoffen, zoals lithium, worden recycling processen nog verbeterd en onderzocht. Dat betekent niet dat bij de winning van de metalen geen milieuschade wordt veroorzaakt, maar hoe beter de metalen worden gerecycled hoe minder metalen gewonnen moeten worden. Naast de ontwikkeling van elektrische voertuigen is ook de markt voor laadpunten in ontwikkeling. Diensten die worden aangeboden en gebruikte technieken ontwikkelen snel, en ook de marktordening kan nog veranderen.</w:t>
      </w:r>
    </w:p>
    <w:p w14:paraId="3F08267A" w14:textId="77777777" w:rsidR="001C40D4" w:rsidRPr="00A83964" w:rsidRDefault="001C40D4" w:rsidP="000131EB">
      <w:pPr>
        <w:spacing w:after="0" w:line="276" w:lineRule="auto"/>
        <w:rPr>
          <w:rFonts w:ascii="Avenir Next LT Pro Light" w:hAnsi="Avenir Next LT Pro Light"/>
        </w:rPr>
      </w:pPr>
    </w:p>
    <w:p w14:paraId="36B8E778" w14:textId="77777777" w:rsidR="0012708A" w:rsidRDefault="0012708A" w:rsidP="000131EB">
      <w:pPr>
        <w:spacing w:after="0" w:line="276" w:lineRule="auto"/>
        <w:rPr>
          <w:rFonts w:ascii="Avenir Next LT Pro Light" w:hAnsi="Avenir Next LT Pro Light"/>
        </w:rPr>
      </w:pPr>
      <w:r w:rsidRPr="00A83964">
        <w:rPr>
          <w:rFonts w:ascii="Avenir Next LT Pro Light" w:hAnsi="Avenir Next LT Pro Light"/>
        </w:rPr>
        <w:t>Naar verwachting is een combinatie van technieken nodig om aan te sluiten bij de diversiteit en het aantal emissievrije voertuigen. Behoeften, technieken en mogelijkheden zullen per persoon, bedrijf en locatie verschillen, dus de combinatie van technieken is nodig om aan de ambities te voldoen.</w:t>
      </w:r>
    </w:p>
    <w:p w14:paraId="6E94B591" w14:textId="77777777" w:rsidR="000859B3" w:rsidRDefault="000859B3" w:rsidP="000131EB">
      <w:pPr>
        <w:spacing w:after="0" w:line="276" w:lineRule="auto"/>
        <w:rPr>
          <w:rFonts w:ascii="Avenir Next LT Pro Light" w:hAnsi="Avenir Next LT Pro Light"/>
        </w:rPr>
      </w:pPr>
    </w:p>
    <w:tbl>
      <w:tblPr>
        <w:tblStyle w:val="Tabelraster"/>
        <w:tblW w:w="0" w:type="auto"/>
        <w:tblLook w:val="04A0" w:firstRow="1" w:lastRow="0" w:firstColumn="1" w:lastColumn="0" w:noHBand="0" w:noVBand="1"/>
      </w:tblPr>
      <w:tblGrid>
        <w:gridCol w:w="8495"/>
      </w:tblGrid>
      <w:tr w:rsidR="00E3511E" w14:paraId="76360A88" w14:textId="77777777" w:rsidTr="00E3511E">
        <w:tc>
          <w:tcPr>
            <w:tcW w:w="8495" w:type="dxa"/>
          </w:tcPr>
          <w:p w14:paraId="5A0666BF" w14:textId="6E275C7A" w:rsidR="00BB4DA4" w:rsidRDefault="00E3511E" w:rsidP="000131EB">
            <w:pPr>
              <w:spacing w:line="276" w:lineRule="auto"/>
              <w:rPr>
                <w:rFonts w:ascii="Avenir Next LT Pro Light" w:hAnsi="Avenir Next LT Pro Light"/>
                <w:sz w:val="18"/>
                <w:szCs w:val="20"/>
              </w:rPr>
            </w:pPr>
            <w:r w:rsidRPr="0087287B">
              <w:rPr>
                <w:rFonts w:ascii="Avenir Next LT Pro Light" w:hAnsi="Avenir Next LT Pro Light"/>
                <w:b/>
                <w:bCs/>
                <w:sz w:val="18"/>
                <w:szCs w:val="20"/>
              </w:rPr>
              <w:t>Waterstof</w:t>
            </w:r>
            <w:r w:rsidRPr="0087287B">
              <w:rPr>
                <w:rFonts w:ascii="Avenir Next LT Pro Light" w:hAnsi="Avenir Next LT Pro Light"/>
                <w:sz w:val="18"/>
                <w:szCs w:val="20"/>
              </w:rPr>
              <w:t xml:space="preserve"> </w:t>
            </w:r>
          </w:p>
          <w:p w14:paraId="42A09CF5" w14:textId="2D8AC86C" w:rsidR="004E1C6F" w:rsidRDefault="00E3511E" w:rsidP="000131EB">
            <w:pPr>
              <w:spacing w:line="276" w:lineRule="auto"/>
              <w:rPr>
                <w:rFonts w:ascii="Avenir Next LT Pro Light" w:hAnsi="Avenir Next LT Pro Light"/>
                <w:sz w:val="18"/>
                <w:szCs w:val="20"/>
              </w:rPr>
            </w:pPr>
            <w:r w:rsidRPr="0087287B">
              <w:rPr>
                <w:rFonts w:ascii="Avenir Next LT Pro Light" w:hAnsi="Avenir Next LT Pro Light"/>
                <w:sz w:val="18"/>
                <w:szCs w:val="20"/>
              </w:rPr>
              <w:t xml:space="preserve">De </w:t>
            </w:r>
            <w:r w:rsidR="00BB4DA4">
              <w:rPr>
                <w:rFonts w:ascii="Avenir Next LT Pro Light" w:hAnsi="Avenir Next LT Pro Light"/>
                <w:sz w:val="18"/>
                <w:szCs w:val="20"/>
              </w:rPr>
              <w:t>Rijks</w:t>
            </w:r>
            <w:r w:rsidRPr="0087287B">
              <w:rPr>
                <w:rFonts w:ascii="Avenir Next LT Pro Light" w:hAnsi="Avenir Next LT Pro Light"/>
                <w:sz w:val="18"/>
                <w:szCs w:val="20"/>
              </w:rPr>
              <w:t xml:space="preserve">overheid ziet waterstof als een </w:t>
            </w:r>
            <w:r w:rsidR="00BB4DA4">
              <w:rPr>
                <w:rFonts w:ascii="Avenir Next LT Pro Light" w:hAnsi="Avenir Next LT Pro Light"/>
                <w:sz w:val="18"/>
                <w:szCs w:val="20"/>
              </w:rPr>
              <w:t>belangrijke</w:t>
            </w:r>
            <w:r w:rsidRPr="0087287B">
              <w:rPr>
                <w:rFonts w:ascii="Avenir Next LT Pro Light" w:hAnsi="Avenir Next LT Pro Light"/>
                <w:sz w:val="18"/>
                <w:szCs w:val="20"/>
              </w:rPr>
              <w:t xml:space="preserve"> schakel in een duurzame energievoorziening</w:t>
            </w:r>
            <w:r w:rsidRPr="0087287B">
              <w:rPr>
                <w:rStyle w:val="Voetnootmarkering"/>
                <w:rFonts w:ascii="Avenir Next LT Pro Light" w:hAnsi="Avenir Next LT Pro Light"/>
                <w:sz w:val="18"/>
                <w:szCs w:val="20"/>
              </w:rPr>
              <w:footnoteReference w:id="4"/>
            </w:r>
            <w:r w:rsidRPr="0087287B">
              <w:rPr>
                <w:rFonts w:ascii="Avenir Next LT Pro Light" w:hAnsi="Avenir Next LT Pro Light"/>
                <w:sz w:val="18"/>
                <w:szCs w:val="20"/>
              </w:rPr>
              <w:t xml:space="preserve">. De ontwikkelingen rondom </w:t>
            </w:r>
            <w:r w:rsidR="00C75111" w:rsidRPr="0087287B">
              <w:rPr>
                <w:rFonts w:ascii="Avenir Next LT Pro Light" w:hAnsi="Avenir Next LT Pro Light"/>
                <w:sz w:val="18"/>
                <w:szCs w:val="20"/>
              </w:rPr>
              <w:t xml:space="preserve">het gebruik van </w:t>
            </w:r>
            <w:r w:rsidRPr="0087287B">
              <w:rPr>
                <w:rFonts w:ascii="Avenir Next LT Pro Light" w:hAnsi="Avenir Next LT Pro Light"/>
                <w:sz w:val="18"/>
                <w:szCs w:val="20"/>
              </w:rPr>
              <w:t xml:space="preserve">waterstof </w:t>
            </w:r>
            <w:r w:rsidR="00C75111" w:rsidRPr="0087287B">
              <w:rPr>
                <w:rFonts w:ascii="Avenir Next LT Pro Light" w:hAnsi="Avenir Next LT Pro Light"/>
                <w:sz w:val="18"/>
                <w:szCs w:val="20"/>
              </w:rPr>
              <w:t>voor het aandrijven van voertuigen</w:t>
            </w:r>
            <w:r w:rsidRPr="0087287B">
              <w:rPr>
                <w:rFonts w:ascii="Avenir Next LT Pro Light" w:hAnsi="Avenir Next LT Pro Light"/>
                <w:sz w:val="18"/>
                <w:szCs w:val="20"/>
              </w:rPr>
              <w:t xml:space="preserve"> concentreren zich op dit moment met name rond de logistieke sector en het openbaar vervoer. </w:t>
            </w:r>
            <w:r w:rsidR="00BB4DA4">
              <w:rPr>
                <w:rFonts w:ascii="Avenir Next LT Pro Light" w:hAnsi="Avenir Next LT Pro Light"/>
                <w:sz w:val="18"/>
                <w:szCs w:val="20"/>
              </w:rPr>
              <w:t>Toch is de omvang nog beperkt</w:t>
            </w:r>
            <w:r w:rsidR="00172D50">
              <w:rPr>
                <w:rFonts w:ascii="Avenir Next LT Pro Light" w:hAnsi="Avenir Next LT Pro Light"/>
                <w:sz w:val="18"/>
                <w:szCs w:val="20"/>
              </w:rPr>
              <w:t xml:space="preserve">. </w:t>
            </w:r>
            <w:r w:rsidRPr="0087287B">
              <w:rPr>
                <w:rFonts w:ascii="Avenir Next LT Pro Light" w:hAnsi="Avenir Next LT Pro Light"/>
                <w:sz w:val="18"/>
                <w:szCs w:val="20"/>
              </w:rPr>
              <w:t>Uit de laadvisie van de gemeente Amsterdam</w:t>
            </w:r>
            <w:r w:rsidRPr="0087287B">
              <w:rPr>
                <w:rStyle w:val="Voetnootmarkering"/>
                <w:rFonts w:ascii="Avenir Next LT Pro Light" w:hAnsi="Avenir Next LT Pro Light"/>
                <w:sz w:val="18"/>
                <w:szCs w:val="20"/>
              </w:rPr>
              <w:footnoteReference w:id="5"/>
            </w:r>
            <w:r w:rsidRPr="0087287B">
              <w:rPr>
                <w:rFonts w:ascii="Avenir Next LT Pro Light" w:hAnsi="Avenir Next LT Pro Light"/>
                <w:sz w:val="18"/>
                <w:szCs w:val="20"/>
              </w:rPr>
              <w:t xml:space="preserve"> blijkt dat zij naast elektrische infrastructuur de komende jaren ook inzetten op waterstof. Dit doen zij vanwege de vraag vanuit de distributiesector. Uit onderzoek van Dinalog</w:t>
            </w:r>
            <w:r w:rsidRPr="0087287B">
              <w:rPr>
                <w:rStyle w:val="Voetnootmarkering"/>
                <w:rFonts w:ascii="Avenir Next LT Pro Light" w:hAnsi="Avenir Next LT Pro Light"/>
                <w:sz w:val="18"/>
                <w:szCs w:val="20"/>
              </w:rPr>
              <w:footnoteReference w:id="6"/>
            </w:r>
            <w:r w:rsidRPr="0087287B">
              <w:rPr>
                <w:rFonts w:ascii="Avenir Next LT Pro Light" w:hAnsi="Avenir Next LT Pro Light"/>
                <w:sz w:val="18"/>
                <w:szCs w:val="20"/>
              </w:rPr>
              <w:t xml:space="preserve"> </w:t>
            </w:r>
            <w:r w:rsidR="0004119A">
              <w:rPr>
                <w:rFonts w:ascii="Avenir Next LT Pro Light" w:hAnsi="Avenir Next LT Pro Light"/>
                <w:sz w:val="18"/>
                <w:szCs w:val="20"/>
              </w:rPr>
              <w:t>blijkt</w:t>
            </w:r>
            <w:r w:rsidRPr="0087287B">
              <w:rPr>
                <w:rFonts w:ascii="Avenir Next LT Pro Light" w:hAnsi="Avenir Next LT Pro Light"/>
                <w:sz w:val="18"/>
                <w:szCs w:val="20"/>
              </w:rPr>
              <w:t xml:space="preserve"> dat op waterstof </w:t>
            </w:r>
            <w:r w:rsidR="0004119A">
              <w:rPr>
                <w:rFonts w:ascii="Avenir Next LT Pro Light" w:hAnsi="Avenir Next LT Pro Light"/>
                <w:sz w:val="18"/>
                <w:szCs w:val="20"/>
              </w:rPr>
              <w:t xml:space="preserve">mogelijk al </w:t>
            </w:r>
            <w:r w:rsidR="00443B02">
              <w:rPr>
                <w:rFonts w:ascii="Avenir Next LT Pro Light" w:hAnsi="Avenir Next LT Pro Light"/>
                <w:sz w:val="18"/>
                <w:szCs w:val="20"/>
              </w:rPr>
              <w:t xml:space="preserve">binnen vijf jaar </w:t>
            </w:r>
            <w:r w:rsidR="0004119A">
              <w:rPr>
                <w:rFonts w:ascii="Avenir Next LT Pro Light" w:hAnsi="Avenir Next LT Pro Light"/>
                <w:sz w:val="18"/>
                <w:szCs w:val="20"/>
              </w:rPr>
              <w:t xml:space="preserve">kan gaan </w:t>
            </w:r>
            <w:r w:rsidR="00443B02">
              <w:rPr>
                <w:rFonts w:ascii="Avenir Next LT Pro Light" w:hAnsi="Avenir Next LT Pro Light"/>
                <w:sz w:val="18"/>
                <w:szCs w:val="20"/>
              </w:rPr>
              <w:t>concurreren</w:t>
            </w:r>
            <w:r w:rsidR="0004119A">
              <w:rPr>
                <w:rFonts w:ascii="Avenir Next LT Pro Light" w:hAnsi="Avenir Next LT Pro Light"/>
                <w:sz w:val="18"/>
                <w:szCs w:val="20"/>
              </w:rPr>
              <w:t xml:space="preserve"> met elektrisch vervoer</w:t>
            </w:r>
            <w:r w:rsidR="00443B02">
              <w:rPr>
                <w:rFonts w:ascii="Avenir Next LT Pro Light" w:hAnsi="Avenir Next LT Pro Light"/>
                <w:sz w:val="18"/>
                <w:szCs w:val="20"/>
              </w:rPr>
              <w:t xml:space="preserve">. Dit zal in eerste instantie </w:t>
            </w:r>
            <w:r w:rsidRPr="0087287B">
              <w:rPr>
                <w:rFonts w:ascii="Avenir Next LT Pro Light" w:hAnsi="Avenir Next LT Pro Light"/>
                <w:sz w:val="18"/>
                <w:szCs w:val="20"/>
              </w:rPr>
              <w:t xml:space="preserve">met name </w:t>
            </w:r>
            <w:r w:rsidR="00443B02">
              <w:rPr>
                <w:rFonts w:ascii="Avenir Next LT Pro Light" w:hAnsi="Avenir Next LT Pro Light"/>
                <w:sz w:val="18"/>
                <w:szCs w:val="20"/>
              </w:rPr>
              <w:t>gelden</w:t>
            </w:r>
            <w:r w:rsidRPr="0087287B">
              <w:rPr>
                <w:rFonts w:ascii="Avenir Next LT Pro Light" w:hAnsi="Avenir Next LT Pro Light"/>
                <w:sz w:val="18"/>
                <w:szCs w:val="20"/>
              </w:rPr>
              <w:t xml:space="preserve"> voor zwaarder</w:t>
            </w:r>
            <w:r w:rsidR="00443B02">
              <w:rPr>
                <w:rFonts w:ascii="Avenir Next LT Pro Light" w:hAnsi="Avenir Next LT Pro Light"/>
                <w:sz w:val="18"/>
                <w:szCs w:val="20"/>
              </w:rPr>
              <w:t xml:space="preserve"> wegverkeer</w:t>
            </w:r>
            <w:r w:rsidRPr="0087287B">
              <w:rPr>
                <w:rFonts w:ascii="Avenir Next LT Pro Light" w:hAnsi="Avenir Next LT Pro Light"/>
                <w:sz w:val="18"/>
                <w:szCs w:val="20"/>
              </w:rPr>
              <w:t xml:space="preserve"> </w:t>
            </w:r>
            <w:r w:rsidR="0004119A">
              <w:rPr>
                <w:rFonts w:ascii="Avenir Next LT Pro Light" w:hAnsi="Avenir Next LT Pro Light"/>
                <w:sz w:val="18"/>
                <w:szCs w:val="20"/>
              </w:rPr>
              <w:t>voor</w:t>
            </w:r>
            <w:r w:rsidRPr="0087287B">
              <w:rPr>
                <w:rFonts w:ascii="Avenir Next LT Pro Light" w:hAnsi="Avenir Next LT Pro Light"/>
                <w:sz w:val="18"/>
                <w:szCs w:val="20"/>
              </w:rPr>
              <w:t xml:space="preserve"> lange afstanden (bijv. vrachtwagens en touringcars). Voor deze vormen van vervoer is elektrisch rijden </w:t>
            </w:r>
            <w:r w:rsidR="007E5C8B">
              <w:rPr>
                <w:rFonts w:ascii="Avenir Next LT Pro Light" w:hAnsi="Avenir Next LT Pro Light"/>
                <w:sz w:val="18"/>
                <w:szCs w:val="20"/>
              </w:rPr>
              <w:t xml:space="preserve">op dit moment </w:t>
            </w:r>
            <w:r w:rsidRPr="0087287B">
              <w:rPr>
                <w:rFonts w:ascii="Avenir Next LT Pro Light" w:hAnsi="Avenir Next LT Pro Light"/>
                <w:sz w:val="18"/>
                <w:szCs w:val="20"/>
              </w:rPr>
              <w:t>minder geschikt</w:t>
            </w:r>
            <w:r w:rsidR="007E5C8B">
              <w:rPr>
                <w:rFonts w:ascii="Avenir Next LT Pro Light" w:hAnsi="Avenir Next LT Pro Light"/>
                <w:sz w:val="18"/>
                <w:szCs w:val="20"/>
              </w:rPr>
              <w:t xml:space="preserve">. Dit heeft te maken met </w:t>
            </w:r>
            <w:r w:rsidRPr="0087287B">
              <w:rPr>
                <w:rFonts w:ascii="Avenir Next LT Pro Light" w:hAnsi="Avenir Next LT Pro Light"/>
                <w:sz w:val="18"/>
                <w:szCs w:val="20"/>
              </w:rPr>
              <w:t>de omvang, het gewicht</w:t>
            </w:r>
            <w:r w:rsidR="007E5C8B">
              <w:rPr>
                <w:rFonts w:ascii="Avenir Next LT Pro Light" w:hAnsi="Avenir Next LT Pro Light"/>
                <w:sz w:val="18"/>
                <w:szCs w:val="20"/>
              </w:rPr>
              <w:t xml:space="preserve"> en </w:t>
            </w:r>
            <w:r w:rsidR="0004119A">
              <w:rPr>
                <w:rFonts w:ascii="Avenir Next LT Pro Light" w:hAnsi="Avenir Next LT Pro Light"/>
                <w:sz w:val="18"/>
                <w:szCs w:val="20"/>
              </w:rPr>
              <w:t xml:space="preserve">de </w:t>
            </w:r>
            <w:r w:rsidRPr="0087287B">
              <w:rPr>
                <w:rFonts w:ascii="Avenir Next LT Pro Light" w:hAnsi="Avenir Next LT Pro Light"/>
                <w:sz w:val="18"/>
                <w:szCs w:val="20"/>
              </w:rPr>
              <w:t xml:space="preserve">kosten </w:t>
            </w:r>
            <w:r w:rsidR="007E5C8B">
              <w:rPr>
                <w:rFonts w:ascii="Avenir Next LT Pro Light" w:hAnsi="Avenir Next LT Pro Light"/>
                <w:sz w:val="18"/>
                <w:szCs w:val="20"/>
              </w:rPr>
              <w:t>voor</w:t>
            </w:r>
            <w:r w:rsidRPr="0087287B">
              <w:rPr>
                <w:rFonts w:ascii="Avenir Next LT Pro Light" w:hAnsi="Avenir Next LT Pro Light"/>
                <w:sz w:val="18"/>
                <w:szCs w:val="20"/>
              </w:rPr>
              <w:t xml:space="preserve"> de benodigde batterijen en </w:t>
            </w:r>
            <w:r w:rsidR="007E5C8B">
              <w:rPr>
                <w:rFonts w:ascii="Avenir Next LT Pro Light" w:hAnsi="Avenir Next LT Pro Light"/>
                <w:sz w:val="18"/>
                <w:szCs w:val="20"/>
              </w:rPr>
              <w:t xml:space="preserve">met </w:t>
            </w:r>
            <w:r w:rsidRPr="0087287B">
              <w:rPr>
                <w:rFonts w:ascii="Avenir Next LT Pro Light" w:hAnsi="Avenir Next LT Pro Light"/>
                <w:sz w:val="18"/>
                <w:szCs w:val="20"/>
              </w:rPr>
              <w:t>de lange oplaadtijd.</w:t>
            </w:r>
            <w:r w:rsidR="007E5C8B">
              <w:rPr>
                <w:rFonts w:ascii="Avenir Next LT Pro Light" w:hAnsi="Avenir Next LT Pro Light"/>
                <w:sz w:val="18"/>
                <w:szCs w:val="20"/>
              </w:rPr>
              <w:t xml:space="preserve"> Desondanks blijft het aanbod  van zwaardere batterij elektrisch voertuigen groeien.  Net als voor </w:t>
            </w:r>
            <w:r w:rsidR="004E1C6F">
              <w:rPr>
                <w:rFonts w:ascii="Avenir Next LT Pro Light" w:hAnsi="Avenir Next LT Pro Light"/>
                <w:sz w:val="18"/>
                <w:szCs w:val="20"/>
              </w:rPr>
              <w:t>waterstof</w:t>
            </w:r>
            <w:r w:rsidR="007E5C8B">
              <w:rPr>
                <w:rFonts w:ascii="Avenir Next LT Pro Light" w:hAnsi="Avenir Next LT Pro Light"/>
                <w:sz w:val="18"/>
                <w:szCs w:val="20"/>
              </w:rPr>
              <w:t xml:space="preserve"> zal deze </w:t>
            </w:r>
            <w:r w:rsidR="004E1C6F">
              <w:rPr>
                <w:rFonts w:ascii="Avenir Next LT Pro Light" w:hAnsi="Avenir Next LT Pro Light"/>
                <w:sz w:val="18"/>
                <w:szCs w:val="20"/>
              </w:rPr>
              <w:t>technologie</w:t>
            </w:r>
            <w:r w:rsidR="007E5C8B">
              <w:rPr>
                <w:rFonts w:ascii="Avenir Next LT Pro Light" w:hAnsi="Avenir Next LT Pro Light"/>
                <w:sz w:val="18"/>
                <w:szCs w:val="20"/>
              </w:rPr>
              <w:t xml:space="preserve"> </w:t>
            </w:r>
            <w:r w:rsidR="004E1C6F">
              <w:rPr>
                <w:rFonts w:ascii="Avenir Next LT Pro Light" w:hAnsi="Avenir Next LT Pro Light"/>
                <w:sz w:val="18"/>
                <w:szCs w:val="20"/>
              </w:rPr>
              <w:t xml:space="preserve">zich </w:t>
            </w:r>
            <w:r w:rsidR="007E5C8B">
              <w:rPr>
                <w:rFonts w:ascii="Avenir Next LT Pro Light" w:hAnsi="Avenir Next LT Pro Light"/>
                <w:sz w:val="18"/>
                <w:szCs w:val="20"/>
              </w:rPr>
              <w:t>blijven door ontwikkelen en is het van deze ontwikkeling afhankelijk</w:t>
            </w:r>
            <w:r w:rsidR="004E1C6F">
              <w:rPr>
                <w:rFonts w:ascii="Avenir Next LT Pro Light" w:hAnsi="Avenir Next LT Pro Light"/>
                <w:sz w:val="18"/>
                <w:szCs w:val="20"/>
              </w:rPr>
              <w:t xml:space="preserve"> welke </w:t>
            </w:r>
            <w:r w:rsidR="007E5C8B">
              <w:rPr>
                <w:rFonts w:ascii="Avenir Next LT Pro Light" w:hAnsi="Avenir Next LT Pro Light"/>
                <w:sz w:val="18"/>
                <w:szCs w:val="20"/>
              </w:rPr>
              <w:t>technologie op termijn</w:t>
            </w:r>
            <w:r w:rsidR="004E1C6F">
              <w:rPr>
                <w:rFonts w:ascii="Avenir Next LT Pro Light" w:hAnsi="Avenir Next LT Pro Light"/>
                <w:sz w:val="18"/>
                <w:szCs w:val="20"/>
              </w:rPr>
              <w:t xml:space="preserve"> het meest geschikt </w:t>
            </w:r>
            <w:r w:rsidR="007E5C8B">
              <w:rPr>
                <w:rFonts w:ascii="Avenir Next LT Pro Light" w:hAnsi="Avenir Next LT Pro Light"/>
                <w:sz w:val="18"/>
                <w:szCs w:val="20"/>
              </w:rPr>
              <w:t>is voor welk type vervoer</w:t>
            </w:r>
            <w:r w:rsidR="004E1C6F">
              <w:rPr>
                <w:rFonts w:ascii="Avenir Next LT Pro Light" w:hAnsi="Avenir Next LT Pro Light"/>
                <w:sz w:val="18"/>
                <w:szCs w:val="20"/>
              </w:rPr>
              <w:t>.</w:t>
            </w:r>
            <w:r w:rsidR="00BB4DA4">
              <w:rPr>
                <w:rFonts w:ascii="Avenir Next LT Pro Light" w:hAnsi="Avenir Next LT Pro Light"/>
                <w:sz w:val="18"/>
                <w:szCs w:val="20"/>
              </w:rPr>
              <w:t xml:space="preserve"> </w:t>
            </w:r>
          </w:p>
          <w:p w14:paraId="26B2283D" w14:textId="77777777" w:rsidR="004E1C6F" w:rsidRDefault="004E1C6F" w:rsidP="000131EB">
            <w:pPr>
              <w:spacing w:line="276" w:lineRule="auto"/>
              <w:rPr>
                <w:rFonts w:ascii="Avenir Next LT Pro Light" w:hAnsi="Avenir Next LT Pro Light"/>
                <w:sz w:val="18"/>
                <w:szCs w:val="20"/>
              </w:rPr>
            </w:pPr>
          </w:p>
          <w:p w14:paraId="1BBE7FB5" w14:textId="074A1D25" w:rsidR="00E3511E" w:rsidRDefault="006475DE" w:rsidP="000131EB">
            <w:pPr>
              <w:spacing w:line="276" w:lineRule="auto"/>
              <w:rPr>
                <w:rFonts w:ascii="Avenir Next LT Pro Light" w:hAnsi="Avenir Next LT Pro Light"/>
              </w:rPr>
            </w:pPr>
            <w:r w:rsidRPr="0087287B">
              <w:rPr>
                <w:rFonts w:ascii="Avenir Next LT Pro Light" w:hAnsi="Avenir Next LT Pro Light"/>
                <w:sz w:val="18"/>
                <w:szCs w:val="20"/>
              </w:rPr>
              <w:t>Voor personenvervoer</w:t>
            </w:r>
            <w:r w:rsidR="007E5C8B">
              <w:rPr>
                <w:rFonts w:ascii="Avenir Next LT Pro Light" w:hAnsi="Avenir Next LT Pro Light"/>
                <w:sz w:val="18"/>
                <w:szCs w:val="20"/>
              </w:rPr>
              <w:t xml:space="preserve"> is het niet waarschijnlijk dat er een omslag naa</w:t>
            </w:r>
            <w:r w:rsidR="004A502F">
              <w:rPr>
                <w:rFonts w:ascii="Avenir Next LT Pro Light" w:hAnsi="Avenir Next LT Pro Light"/>
                <w:sz w:val="18"/>
                <w:szCs w:val="20"/>
              </w:rPr>
              <w:t xml:space="preserve">r waterstof </w:t>
            </w:r>
            <w:r w:rsidR="007E5C8B">
              <w:rPr>
                <w:rFonts w:ascii="Avenir Next LT Pro Light" w:hAnsi="Avenir Next LT Pro Light"/>
                <w:sz w:val="18"/>
                <w:szCs w:val="20"/>
              </w:rPr>
              <w:t>komt</w:t>
            </w:r>
            <w:r w:rsidR="001564F6">
              <w:rPr>
                <w:rFonts w:ascii="Avenir Next LT Pro Light" w:hAnsi="Avenir Next LT Pro Light"/>
                <w:sz w:val="18"/>
                <w:szCs w:val="20"/>
              </w:rPr>
              <w:t>. Desalniettemin kunnen</w:t>
            </w:r>
            <w:r w:rsidR="007E5C8B">
              <w:rPr>
                <w:rFonts w:ascii="Avenir Next LT Pro Light" w:hAnsi="Avenir Next LT Pro Light"/>
                <w:sz w:val="18"/>
                <w:szCs w:val="20"/>
              </w:rPr>
              <w:t xml:space="preserve"> technologische ontwikkelingen </w:t>
            </w:r>
            <w:r w:rsidR="001564F6">
              <w:rPr>
                <w:rFonts w:ascii="Avenir Next LT Pro Light" w:hAnsi="Avenir Next LT Pro Light"/>
                <w:sz w:val="18"/>
                <w:szCs w:val="20"/>
              </w:rPr>
              <w:t xml:space="preserve">op termijn </w:t>
            </w:r>
            <w:r w:rsidR="007E5C8B">
              <w:rPr>
                <w:rFonts w:ascii="Avenir Next LT Pro Light" w:hAnsi="Avenir Next LT Pro Light"/>
                <w:sz w:val="18"/>
                <w:szCs w:val="20"/>
              </w:rPr>
              <w:t xml:space="preserve">wel degelijk voor zo’n omslag zorgen. </w:t>
            </w:r>
            <w:r w:rsidRPr="0087287B">
              <w:rPr>
                <w:rFonts w:ascii="Avenir Next LT Pro Light" w:hAnsi="Avenir Next LT Pro Light"/>
                <w:sz w:val="18"/>
                <w:szCs w:val="20"/>
              </w:rPr>
              <w:t>MRA-E</w:t>
            </w:r>
            <w:r w:rsidR="001564F6">
              <w:rPr>
                <w:rFonts w:ascii="Avenir Next LT Pro Light" w:hAnsi="Avenir Next LT Pro Light"/>
                <w:sz w:val="18"/>
                <w:szCs w:val="20"/>
              </w:rPr>
              <w:t xml:space="preserve"> blijft</w:t>
            </w:r>
            <w:r w:rsidRPr="0087287B">
              <w:rPr>
                <w:rFonts w:ascii="Avenir Next LT Pro Light" w:hAnsi="Avenir Next LT Pro Light"/>
                <w:sz w:val="18"/>
                <w:szCs w:val="20"/>
              </w:rPr>
              <w:t xml:space="preserve"> </w:t>
            </w:r>
            <w:r w:rsidR="007E5C8B">
              <w:rPr>
                <w:rFonts w:ascii="Avenir Next LT Pro Light" w:hAnsi="Avenir Next LT Pro Light"/>
                <w:sz w:val="18"/>
                <w:szCs w:val="20"/>
              </w:rPr>
              <w:t xml:space="preserve">deze ontwikkelingen </w:t>
            </w:r>
            <w:r w:rsidR="001564F6">
              <w:rPr>
                <w:rFonts w:ascii="Avenir Next LT Pro Light" w:hAnsi="Avenir Next LT Pro Light"/>
                <w:sz w:val="18"/>
                <w:szCs w:val="20"/>
              </w:rPr>
              <w:t xml:space="preserve">daarom </w:t>
            </w:r>
            <w:r w:rsidR="007E5C8B">
              <w:rPr>
                <w:rFonts w:ascii="Avenir Next LT Pro Light" w:hAnsi="Avenir Next LT Pro Light"/>
                <w:sz w:val="18"/>
                <w:szCs w:val="20"/>
              </w:rPr>
              <w:t xml:space="preserve">nauwlettend </w:t>
            </w:r>
            <w:r w:rsidRPr="0087287B">
              <w:rPr>
                <w:rFonts w:ascii="Avenir Next LT Pro Light" w:hAnsi="Avenir Next LT Pro Light"/>
                <w:sz w:val="18"/>
                <w:szCs w:val="20"/>
              </w:rPr>
              <w:t xml:space="preserve">volgen. </w:t>
            </w:r>
            <w:r w:rsidR="001564F6">
              <w:rPr>
                <w:rFonts w:ascii="Avenir Next LT Pro Light" w:hAnsi="Avenir Next LT Pro Light"/>
                <w:sz w:val="18"/>
                <w:szCs w:val="20"/>
              </w:rPr>
              <w:t>Ook</w:t>
            </w:r>
            <w:r w:rsidR="00C73AAD" w:rsidRPr="0087287B">
              <w:rPr>
                <w:rFonts w:ascii="Avenir Next LT Pro Light" w:hAnsi="Avenir Next LT Pro Light"/>
                <w:sz w:val="18"/>
                <w:szCs w:val="20"/>
              </w:rPr>
              <w:t xml:space="preserve"> werkt MRA-E met een flexibele aanpak door o.a. het </w:t>
            </w:r>
            <w:r w:rsidR="00C73AAD" w:rsidRPr="0087287B">
              <w:rPr>
                <w:rFonts w:ascii="Avenir Next LT Pro Light" w:hAnsi="Avenir Next LT Pro Light"/>
                <w:sz w:val="18"/>
                <w:szCs w:val="20"/>
              </w:rPr>
              <w:lastRenderedPageBreak/>
              <w:t xml:space="preserve">opknippen van investeringen. </w:t>
            </w:r>
            <w:r w:rsidR="007E5C8B">
              <w:rPr>
                <w:rFonts w:ascii="Avenir Next LT Pro Light" w:hAnsi="Avenir Next LT Pro Light"/>
                <w:sz w:val="18"/>
                <w:szCs w:val="20"/>
              </w:rPr>
              <w:t>Dit maakt het mogelijk om</w:t>
            </w:r>
            <w:r w:rsidR="001564F6">
              <w:rPr>
                <w:rFonts w:ascii="Avenir Next LT Pro Light" w:hAnsi="Avenir Next LT Pro Light"/>
                <w:sz w:val="18"/>
                <w:szCs w:val="20"/>
              </w:rPr>
              <w:t xml:space="preserve"> snel te schakelen naar </w:t>
            </w:r>
            <w:r w:rsidR="00C73AAD" w:rsidRPr="0087287B">
              <w:rPr>
                <w:rFonts w:ascii="Avenir Next LT Pro Light" w:hAnsi="Avenir Next LT Pro Light"/>
                <w:sz w:val="18"/>
                <w:szCs w:val="20"/>
              </w:rPr>
              <w:t>investeringen in andere infrastructuur dan elektrische laad</w:t>
            </w:r>
            <w:r w:rsidR="00172D50">
              <w:rPr>
                <w:rFonts w:ascii="Avenir Next LT Pro Light" w:hAnsi="Avenir Next LT Pro Light"/>
                <w:sz w:val="18"/>
                <w:szCs w:val="20"/>
              </w:rPr>
              <w:t>infrastructuur</w:t>
            </w:r>
            <w:r w:rsidR="00C73AAD" w:rsidRPr="0087287B">
              <w:rPr>
                <w:rFonts w:ascii="Avenir Next LT Pro Light" w:hAnsi="Avenir Next LT Pro Light"/>
                <w:sz w:val="18"/>
                <w:szCs w:val="20"/>
              </w:rPr>
              <w:t xml:space="preserve">. </w:t>
            </w:r>
          </w:p>
        </w:tc>
      </w:tr>
    </w:tbl>
    <w:p w14:paraId="123F0410" w14:textId="77777777" w:rsidR="008C60E2" w:rsidRPr="000859B3" w:rsidRDefault="008F35C7" w:rsidP="000131EB">
      <w:pPr>
        <w:pStyle w:val="Kop1"/>
        <w:spacing w:line="276" w:lineRule="auto"/>
      </w:pPr>
      <w:bookmarkStart w:id="10" w:name="_Toc71287697"/>
      <w:r w:rsidRPr="000859B3">
        <w:lastRenderedPageBreak/>
        <w:t>Op weg naar een dekkende laadinfrastructuur</w:t>
      </w:r>
      <w:r w:rsidR="0096231C" w:rsidRPr="000859B3">
        <w:t xml:space="preserve"> in de regio</w:t>
      </w:r>
      <w:bookmarkEnd w:id="10"/>
    </w:p>
    <w:p w14:paraId="168B88A5" w14:textId="6DA114A3" w:rsidR="008D7789" w:rsidRDefault="00934A51" w:rsidP="000131EB">
      <w:pPr>
        <w:spacing w:after="0" w:line="276" w:lineRule="auto"/>
        <w:rPr>
          <w:rFonts w:ascii="Avenir Next LT Pro Light" w:hAnsi="Avenir Next LT Pro Light"/>
        </w:rPr>
      </w:pPr>
      <w:r>
        <w:rPr>
          <w:rFonts w:ascii="Avenir Next LT Pro Light" w:hAnsi="Avenir Next LT Pro Light"/>
        </w:rPr>
        <w:t>Overheden moeten aangehaakt worden en waar nodig richting geven om de uitrol van een dekkende laadnetwerk te laten slagen. Dit hoofdstuk</w:t>
      </w:r>
      <w:r w:rsidR="008D7789">
        <w:rPr>
          <w:rFonts w:ascii="Avenir Next LT Pro Light" w:hAnsi="Avenir Next LT Pro Light"/>
        </w:rPr>
        <w:t xml:space="preserve"> gaat in op een aantal belangrijke onderwerpen </w:t>
      </w:r>
      <w:r>
        <w:rPr>
          <w:rFonts w:ascii="Avenir Next LT Pro Light" w:hAnsi="Avenir Next LT Pro Light"/>
        </w:rPr>
        <w:t>en keuzes die overheden moeten maken om dit dekkende laadnetwerk te realiseren</w:t>
      </w:r>
      <w:bookmarkStart w:id="11" w:name="_Hlk71284772"/>
      <w:r>
        <w:rPr>
          <w:rFonts w:ascii="Avenir Next LT Pro Light" w:hAnsi="Avenir Next LT Pro Light"/>
        </w:rPr>
        <w:t>.</w:t>
      </w:r>
      <w:r w:rsidR="008D7789">
        <w:rPr>
          <w:rFonts w:ascii="Avenir Next LT Pro Light" w:hAnsi="Avenir Next LT Pro Light"/>
        </w:rPr>
        <w:t xml:space="preserve"> </w:t>
      </w:r>
      <w:r>
        <w:rPr>
          <w:rFonts w:ascii="Avenir Next LT Pro Light" w:hAnsi="Avenir Next LT Pro Light"/>
        </w:rPr>
        <w:t xml:space="preserve">Dat </w:t>
      </w:r>
      <w:r w:rsidR="008D7789">
        <w:rPr>
          <w:rFonts w:ascii="Avenir Next LT Pro Light" w:hAnsi="Avenir Next LT Pro Light"/>
        </w:rPr>
        <w:t xml:space="preserve">betekent niet alleen </w:t>
      </w:r>
      <w:r>
        <w:rPr>
          <w:rFonts w:ascii="Avenir Next LT Pro Light" w:hAnsi="Avenir Next LT Pro Light"/>
        </w:rPr>
        <w:t xml:space="preserve">dat er </w:t>
      </w:r>
      <w:r w:rsidR="008D7789">
        <w:rPr>
          <w:rFonts w:ascii="Avenir Next LT Pro Light" w:hAnsi="Avenir Next LT Pro Light"/>
        </w:rPr>
        <w:t>voldoende laadpalen</w:t>
      </w:r>
      <w:r>
        <w:rPr>
          <w:rFonts w:ascii="Avenir Next LT Pro Light" w:hAnsi="Avenir Next LT Pro Light"/>
        </w:rPr>
        <w:t xml:space="preserve"> moeten komen</w:t>
      </w:r>
      <w:r w:rsidR="008D7789">
        <w:rPr>
          <w:rFonts w:ascii="Avenir Next LT Pro Light" w:hAnsi="Avenir Next LT Pro Light"/>
        </w:rPr>
        <w:t xml:space="preserve">, maar ook </w:t>
      </w:r>
      <w:r>
        <w:rPr>
          <w:rFonts w:ascii="Avenir Next LT Pro Light" w:hAnsi="Avenir Next LT Pro Light"/>
        </w:rPr>
        <w:t xml:space="preserve">dat er </w:t>
      </w:r>
      <w:r w:rsidR="008D7789">
        <w:rPr>
          <w:rFonts w:ascii="Avenir Next LT Pro Light" w:hAnsi="Avenir Next LT Pro Light"/>
        </w:rPr>
        <w:t>een juiste balans</w:t>
      </w:r>
      <w:r>
        <w:rPr>
          <w:rFonts w:ascii="Avenir Next LT Pro Light" w:hAnsi="Avenir Next LT Pro Light"/>
        </w:rPr>
        <w:t xml:space="preserve"> </w:t>
      </w:r>
      <w:r w:rsidR="001333E7">
        <w:rPr>
          <w:rFonts w:ascii="Avenir Next LT Pro Light" w:hAnsi="Avenir Next LT Pro Light"/>
        </w:rPr>
        <w:t>ontstaat</w:t>
      </w:r>
      <w:r w:rsidR="008D7789">
        <w:rPr>
          <w:rFonts w:ascii="Avenir Next LT Pro Light" w:hAnsi="Avenir Next LT Pro Light"/>
        </w:rPr>
        <w:t xml:space="preserve"> tussen </w:t>
      </w:r>
      <w:r w:rsidR="001333E7">
        <w:rPr>
          <w:rFonts w:ascii="Avenir Next LT Pro Light" w:hAnsi="Avenir Next LT Pro Light"/>
        </w:rPr>
        <w:t xml:space="preserve">de </w:t>
      </w:r>
      <w:r w:rsidR="008D7789">
        <w:rPr>
          <w:rFonts w:ascii="Avenir Next LT Pro Light" w:hAnsi="Avenir Next LT Pro Light"/>
        </w:rPr>
        <w:t xml:space="preserve">verschillende vormen van laden. </w:t>
      </w:r>
      <w:r w:rsidR="001333E7">
        <w:rPr>
          <w:rFonts w:ascii="Avenir Next LT Pro Light" w:hAnsi="Avenir Next LT Pro Light"/>
        </w:rPr>
        <w:t>Enerzijds zal moeten</w:t>
      </w:r>
      <w:r>
        <w:rPr>
          <w:rFonts w:ascii="Avenir Next LT Pro Light" w:hAnsi="Avenir Next LT Pro Light"/>
        </w:rPr>
        <w:t xml:space="preserve"> worden gezocht naar </w:t>
      </w:r>
      <w:r w:rsidR="001333E7">
        <w:rPr>
          <w:rFonts w:ascii="Avenir Next LT Pro Light" w:hAnsi="Avenir Next LT Pro Light"/>
        </w:rPr>
        <w:t>de</w:t>
      </w:r>
      <w:r>
        <w:rPr>
          <w:rFonts w:ascii="Avenir Next LT Pro Light" w:hAnsi="Avenir Next LT Pro Light"/>
        </w:rPr>
        <w:t xml:space="preserve"> balans</w:t>
      </w:r>
      <w:r w:rsidR="008D7789">
        <w:rPr>
          <w:rFonts w:ascii="Avenir Next LT Pro Light" w:hAnsi="Avenir Next LT Pro Light"/>
        </w:rPr>
        <w:t xml:space="preserve"> tussen reguliere</w:t>
      </w:r>
      <w:r>
        <w:rPr>
          <w:rFonts w:ascii="Avenir Next LT Pro Light" w:hAnsi="Avenir Next LT Pro Light"/>
        </w:rPr>
        <w:t xml:space="preserve"> openbare</w:t>
      </w:r>
      <w:r w:rsidR="008D7789">
        <w:rPr>
          <w:rFonts w:ascii="Avenir Next LT Pro Light" w:hAnsi="Avenir Next LT Pro Light"/>
        </w:rPr>
        <w:t xml:space="preserve"> laadinfrastructuur en </w:t>
      </w:r>
      <w:r w:rsidR="00E51012">
        <w:rPr>
          <w:rFonts w:ascii="Avenir Next LT Pro Light" w:hAnsi="Avenir Next LT Pro Light"/>
        </w:rPr>
        <w:t xml:space="preserve">openbare </w:t>
      </w:r>
      <w:r w:rsidR="008D7789">
        <w:rPr>
          <w:rFonts w:ascii="Avenir Next LT Pro Light" w:hAnsi="Avenir Next LT Pro Light"/>
        </w:rPr>
        <w:t>snellaadinfrastructuur</w:t>
      </w:r>
      <w:r>
        <w:rPr>
          <w:rFonts w:ascii="Avenir Next LT Pro Light" w:hAnsi="Avenir Next LT Pro Light"/>
        </w:rPr>
        <w:t xml:space="preserve">. </w:t>
      </w:r>
      <w:r w:rsidR="001333E7">
        <w:rPr>
          <w:rFonts w:ascii="Avenir Next LT Pro Light" w:hAnsi="Avenir Next LT Pro Light"/>
        </w:rPr>
        <w:t>Anderzijds naar een</w:t>
      </w:r>
      <w:r>
        <w:rPr>
          <w:rFonts w:ascii="Avenir Next LT Pro Light" w:hAnsi="Avenir Next LT Pro Light"/>
        </w:rPr>
        <w:t xml:space="preserve"> balans </w:t>
      </w:r>
      <w:r w:rsidR="008D7789">
        <w:rPr>
          <w:rFonts w:ascii="Avenir Next LT Pro Light" w:hAnsi="Avenir Next LT Pro Light"/>
        </w:rPr>
        <w:t>tussen publieke, private en semi-publ</w:t>
      </w:r>
      <w:r>
        <w:rPr>
          <w:rFonts w:ascii="Avenir Next LT Pro Light" w:hAnsi="Avenir Next LT Pro Light"/>
        </w:rPr>
        <w:t>i</w:t>
      </w:r>
      <w:r w:rsidR="008D7789">
        <w:rPr>
          <w:rFonts w:ascii="Avenir Next LT Pro Light" w:hAnsi="Avenir Next LT Pro Light"/>
        </w:rPr>
        <w:t>eke infrastructuur. Door hier</w:t>
      </w:r>
      <w:r>
        <w:rPr>
          <w:rFonts w:ascii="Avenir Next LT Pro Light" w:hAnsi="Avenir Next LT Pro Light"/>
        </w:rPr>
        <w:t xml:space="preserve"> als gemeente</w:t>
      </w:r>
      <w:r w:rsidR="008D7789">
        <w:rPr>
          <w:rFonts w:ascii="Avenir Next LT Pro Light" w:hAnsi="Avenir Next LT Pro Light"/>
        </w:rPr>
        <w:t xml:space="preserve"> nu al op in te spelen </w:t>
      </w:r>
      <w:r>
        <w:rPr>
          <w:rFonts w:ascii="Avenir Next LT Pro Light" w:hAnsi="Avenir Next LT Pro Light"/>
        </w:rPr>
        <w:t xml:space="preserve">kunnen </w:t>
      </w:r>
      <w:r w:rsidR="001333E7">
        <w:rPr>
          <w:rFonts w:ascii="Avenir Next LT Pro Light" w:hAnsi="Avenir Next LT Pro Light"/>
        </w:rPr>
        <w:t xml:space="preserve">daarmee </w:t>
      </w:r>
      <w:r>
        <w:rPr>
          <w:rFonts w:ascii="Avenir Next LT Pro Light" w:hAnsi="Avenir Next LT Pro Light"/>
        </w:rPr>
        <w:t xml:space="preserve">problemen </w:t>
      </w:r>
      <w:r w:rsidR="008D7789">
        <w:rPr>
          <w:rFonts w:ascii="Avenir Next LT Pro Light" w:hAnsi="Avenir Next LT Pro Light"/>
        </w:rPr>
        <w:t xml:space="preserve">in de toekomst </w:t>
      </w:r>
      <w:r>
        <w:rPr>
          <w:rFonts w:ascii="Avenir Next LT Pro Light" w:hAnsi="Avenir Next LT Pro Light"/>
        </w:rPr>
        <w:t>worden voorkomen</w:t>
      </w:r>
      <w:r w:rsidR="008D7789">
        <w:rPr>
          <w:rFonts w:ascii="Avenir Next LT Pro Light" w:hAnsi="Avenir Next LT Pro Light"/>
        </w:rPr>
        <w:t xml:space="preserve">. </w:t>
      </w:r>
    </w:p>
    <w:bookmarkEnd w:id="11"/>
    <w:p w14:paraId="0205E994" w14:textId="77777777" w:rsidR="008D7789" w:rsidRDefault="008D7789" w:rsidP="000131EB">
      <w:pPr>
        <w:spacing w:after="0" w:line="276" w:lineRule="auto"/>
        <w:rPr>
          <w:rFonts w:ascii="Avenir Next LT Pro Light" w:hAnsi="Avenir Next LT Pro Light"/>
        </w:rPr>
      </w:pPr>
    </w:p>
    <w:p w14:paraId="37DE78C1" w14:textId="77777777" w:rsidR="008D7789" w:rsidRPr="008D7789" w:rsidRDefault="008D7789" w:rsidP="000131EB">
      <w:pPr>
        <w:spacing w:after="0" w:line="276" w:lineRule="auto"/>
        <w:rPr>
          <w:rFonts w:ascii="Avenir Next LT Pro Light" w:hAnsi="Avenir Next LT Pro Light"/>
          <w:i/>
          <w:iCs/>
        </w:rPr>
      </w:pPr>
      <w:r w:rsidRPr="008D7789">
        <w:rPr>
          <w:rFonts w:ascii="Avenir Next LT Pro Light" w:hAnsi="Avenir Next LT Pro Light"/>
          <w:i/>
          <w:iCs/>
        </w:rPr>
        <w:t>Ladder van laden als basis</w:t>
      </w:r>
    </w:p>
    <w:p w14:paraId="6CCB6179" w14:textId="6D23A4F9" w:rsidR="004C79D8" w:rsidRPr="004C79D8" w:rsidRDefault="003D31DB" w:rsidP="000131EB">
      <w:pPr>
        <w:spacing w:after="0" w:line="276" w:lineRule="auto"/>
        <w:rPr>
          <w:rFonts w:ascii="Avenir Next LT Pro Light" w:hAnsi="Avenir Next LT Pro Light"/>
        </w:rPr>
      </w:pPr>
      <w:r>
        <w:rPr>
          <w:rFonts w:ascii="Avenir Next LT Pro Light" w:hAnsi="Avenir Next LT Pro Light"/>
        </w:rPr>
        <w:t>Veel g</w:t>
      </w:r>
      <w:r w:rsidR="004C79D8" w:rsidRPr="004C79D8">
        <w:rPr>
          <w:rFonts w:ascii="Avenir Next LT Pro Light" w:hAnsi="Avenir Next LT Pro Light"/>
        </w:rPr>
        <w:t xml:space="preserve">emeenten in Nederland hanteren bij het </w:t>
      </w:r>
      <w:r w:rsidR="00D22914">
        <w:rPr>
          <w:rFonts w:ascii="Avenir Next LT Pro Light" w:hAnsi="Avenir Next LT Pro Light"/>
        </w:rPr>
        <w:t>opstellen</w:t>
      </w:r>
      <w:r w:rsidR="004C79D8" w:rsidRPr="004C79D8">
        <w:rPr>
          <w:rFonts w:ascii="Avenir Next LT Pro Light" w:hAnsi="Avenir Next LT Pro Light"/>
        </w:rPr>
        <w:t xml:space="preserve"> van laadbeleid de ladder van laden. Het doel van deze ladder is om de druk op de openbare ruimte en de publieke kosten van het laadbeleid te beperken en tegelijkertijd te voorzien in voldoende passende laadinfrastructuur.</w:t>
      </w:r>
      <w:r w:rsidR="004C79D8">
        <w:rPr>
          <w:rFonts w:ascii="Avenir Next LT Pro Light" w:hAnsi="Avenir Next LT Pro Light"/>
        </w:rPr>
        <w:br/>
      </w:r>
    </w:p>
    <w:tbl>
      <w:tblPr>
        <w:tblW w:w="0" w:type="auto"/>
        <w:shd w:val="clear" w:color="auto" w:fill="BDD6EE" w:themeFill="accent5" w:themeFillTint="66"/>
        <w:tblLook w:val="04A0" w:firstRow="1" w:lastRow="0" w:firstColumn="1" w:lastColumn="0" w:noHBand="0" w:noVBand="1"/>
      </w:tblPr>
      <w:tblGrid>
        <w:gridCol w:w="8505"/>
      </w:tblGrid>
      <w:tr w:rsidR="004C79D8" w:rsidRPr="004C79D8" w14:paraId="7C21AEC7" w14:textId="77777777" w:rsidTr="004C79D8">
        <w:tc>
          <w:tcPr>
            <w:tcW w:w="9062" w:type="dxa"/>
            <w:shd w:val="clear" w:color="auto" w:fill="BDD6EE" w:themeFill="accent5" w:themeFillTint="66"/>
          </w:tcPr>
          <w:p w14:paraId="51675C3D" w14:textId="77777777" w:rsidR="004C79D8" w:rsidRPr="004C79D8" w:rsidRDefault="004C79D8" w:rsidP="000131EB">
            <w:pPr>
              <w:spacing w:after="0" w:line="276" w:lineRule="auto"/>
              <w:rPr>
                <w:rFonts w:ascii="Avenir Next LT Pro Light" w:hAnsi="Avenir Next LT Pro Light"/>
                <w:b/>
              </w:rPr>
            </w:pPr>
            <w:r w:rsidRPr="004C79D8">
              <w:rPr>
                <w:rFonts w:ascii="Avenir Next LT Pro Light" w:hAnsi="Avenir Next LT Pro Light"/>
                <w:b/>
              </w:rPr>
              <w:t>De ladder van laden</w:t>
            </w:r>
          </w:p>
          <w:p w14:paraId="054A5E9D" w14:textId="77777777" w:rsidR="004C79D8" w:rsidRPr="004C79D8" w:rsidRDefault="004C79D8" w:rsidP="000131EB">
            <w:pPr>
              <w:numPr>
                <w:ilvl w:val="0"/>
                <w:numId w:val="32"/>
              </w:numPr>
              <w:spacing w:after="0" w:line="276" w:lineRule="auto"/>
              <w:rPr>
                <w:rFonts w:ascii="Avenir Next LT Pro Light" w:hAnsi="Avenir Next LT Pro Light"/>
              </w:rPr>
            </w:pPr>
            <w:r w:rsidRPr="004C79D8">
              <w:rPr>
                <w:rFonts w:ascii="Avenir Next LT Pro Light" w:hAnsi="Avenir Next LT Pro Light"/>
              </w:rPr>
              <w:t>Primair parkeren en laden EV-rijders op eigen terrein (werk en privé</w:t>
            </w:r>
            <w:r>
              <w:rPr>
                <w:rFonts w:ascii="Avenir Next LT Pro Light" w:hAnsi="Avenir Next LT Pro Light"/>
              </w:rPr>
              <w:t>, zie 3.3</w:t>
            </w:r>
            <w:r w:rsidRPr="004C79D8">
              <w:rPr>
                <w:rFonts w:ascii="Avenir Next LT Pro Light" w:hAnsi="Avenir Next LT Pro Light"/>
              </w:rPr>
              <w:t xml:space="preserve">). </w:t>
            </w:r>
          </w:p>
          <w:p w14:paraId="111C6755" w14:textId="712886C7" w:rsidR="004C79D8" w:rsidRPr="004C79D8" w:rsidRDefault="004C79D8" w:rsidP="000131EB">
            <w:pPr>
              <w:numPr>
                <w:ilvl w:val="0"/>
                <w:numId w:val="32"/>
              </w:numPr>
              <w:spacing w:after="0" w:line="276" w:lineRule="auto"/>
              <w:rPr>
                <w:rFonts w:ascii="Avenir Next LT Pro Light" w:hAnsi="Avenir Next LT Pro Light"/>
              </w:rPr>
            </w:pPr>
            <w:r w:rsidRPr="004C79D8">
              <w:rPr>
                <w:rFonts w:ascii="Avenir Next LT Pro Light" w:hAnsi="Avenir Next LT Pro Light"/>
              </w:rPr>
              <w:t>Daarna ligt de nadruk op semi</w:t>
            </w:r>
            <w:r w:rsidR="00582C20">
              <w:rPr>
                <w:rFonts w:ascii="Avenir Next LT Pro Light" w:hAnsi="Avenir Next LT Pro Light"/>
              </w:rPr>
              <w:t>-</w:t>
            </w:r>
            <w:r w:rsidRPr="004C79D8">
              <w:rPr>
                <w:rFonts w:ascii="Avenir Next LT Pro Light" w:hAnsi="Avenir Next LT Pro Light"/>
              </w:rPr>
              <w:t>publieke laadvoorzieningen (d.w.z. parkeergelegenheden nabij stations, winkelcentra en op bedrijfsterreinen</w:t>
            </w:r>
            <w:r>
              <w:rPr>
                <w:rFonts w:ascii="Avenir Next LT Pro Light" w:hAnsi="Avenir Next LT Pro Light"/>
              </w:rPr>
              <w:t>, zie 3.3</w:t>
            </w:r>
            <w:r w:rsidRPr="004C79D8">
              <w:rPr>
                <w:rFonts w:ascii="Avenir Next LT Pro Light" w:hAnsi="Avenir Next LT Pro Light"/>
              </w:rPr>
              <w:t>).</w:t>
            </w:r>
          </w:p>
          <w:p w14:paraId="09B4E77F" w14:textId="77777777" w:rsidR="004C79D8" w:rsidRPr="004C79D8" w:rsidRDefault="004C79D8" w:rsidP="000131EB">
            <w:pPr>
              <w:numPr>
                <w:ilvl w:val="0"/>
                <w:numId w:val="32"/>
              </w:numPr>
              <w:spacing w:after="0" w:line="276" w:lineRule="auto"/>
              <w:rPr>
                <w:rFonts w:ascii="Avenir Next LT Pro Light" w:hAnsi="Avenir Next LT Pro Light"/>
              </w:rPr>
            </w:pPr>
            <w:r w:rsidRPr="004C79D8">
              <w:rPr>
                <w:rFonts w:ascii="Avenir Next LT Pro Light" w:hAnsi="Avenir Next LT Pro Light"/>
              </w:rPr>
              <w:t>In laatste instantie dienen publieke laadvoorzieningen te voorzien in de behoefte aan laaddiensten</w:t>
            </w:r>
            <w:r>
              <w:rPr>
                <w:rFonts w:ascii="Avenir Next LT Pro Light" w:hAnsi="Avenir Next LT Pro Light"/>
              </w:rPr>
              <w:t xml:space="preserve"> (zie 3.2)</w:t>
            </w:r>
            <w:r w:rsidRPr="004C79D8">
              <w:rPr>
                <w:rFonts w:ascii="Avenir Next LT Pro Light" w:hAnsi="Avenir Next LT Pro Light"/>
              </w:rPr>
              <w:t>.</w:t>
            </w:r>
          </w:p>
        </w:tc>
      </w:tr>
    </w:tbl>
    <w:p w14:paraId="333AF89D" w14:textId="77777777" w:rsidR="004C79D8" w:rsidRPr="004C79D8" w:rsidRDefault="004C79D8" w:rsidP="000131EB">
      <w:pPr>
        <w:spacing w:after="0" w:line="276" w:lineRule="auto"/>
        <w:rPr>
          <w:rFonts w:ascii="Avenir Next LT Pro Light" w:hAnsi="Avenir Next LT Pro Light"/>
        </w:rPr>
      </w:pPr>
    </w:p>
    <w:p w14:paraId="78605D4C" w14:textId="0E7863F6" w:rsidR="001C40D4" w:rsidRDefault="004C79D8" w:rsidP="000131EB">
      <w:pPr>
        <w:spacing w:after="0" w:line="276" w:lineRule="auto"/>
        <w:rPr>
          <w:rFonts w:ascii="Avenir Next LT Pro Light" w:hAnsi="Avenir Next LT Pro Light"/>
        </w:rPr>
      </w:pPr>
      <w:r w:rsidRPr="004C79D8">
        <w:rPr>
          <w:rFonts w:ascii="Avenir Next LT Pro Light" w:hAnsi="Avenir Next LT Pro Light"/>
        </w:rPr>
        <w:t>De kern van het beleid is dat als e-rijders gelegenheid hebben om op privaat terrein te laden, dat zij dat ook doen. Daarop volgen semi</w:t>
      </w:r>
      <w:r w:rsidR="00582C20">
        <w:rPr>
          <w:rFonts w:ascii="Avenir Next LT Pro Light" w:hAnsi="Avenir Next LT Pro Light"/>
        </w:rPr>
        <w:t>-</w:t>
      </w:r>
      <w:r w:rsidRPr="004C79D8">
        <w:rPr>
          <w:rFonts w:ascii="Avenir Next LT Pro Light" w:hAnsi="Avenir Next LT Pro Light"/>
        </w:rPr>
        <w:t>publieke laadlocaties, waar mensen kunnen laden bij parkeergelegenheden nabij stations, winkelcentra en bedrijventerreinen. Wanneer er geen of onvoldoende laadmogelijkheden zijn op privaat of semi</w:t>
      </w:r>
      <w:r w:rsidR="00582C20">
        <w:rPr>
          <w:rFonts w:ascii="Avenir Next LT Pro Light" w:hAnsi="Avenir Next LT Pro Light"/>
        </w:rPr>
        <w:t>-</w:t>
      </w:r>
      <w:r w:rsidRPr="004C79D8">
        <w:rPr>
          <w:rFonts w:ascii="Avenir Next LT Pro Light" w:hAnsi="Avenir Next LT Pro Light"/>
        </w:rPr>
        <w:t>publiek terrein, worden er publieke laadvoorzieningen gerealiseerd. De plaatsingscriteria van de concessie van MRA-Elektrisch sluiten aan bij dit beleid, door voorwaarden te stellen aan een geldige verzoek tot uitbreiding van de openbare laadinfrastructuur.</w:t>
      </w:r>
    </w:p>
    <w:p w14:paraId="23E82AA4" w14:textId="2CBA00AB" w:rsidR="007315A7" w:rsidRPr="000859B3" w:rsidRDefault="007920ED" w:rsidP="000131EB">
      <w:pPr>
        <w:pStyle w:val="Kop2"/>
        <w:spacing w:line="276" w:lineRule="auto"/>
      </w:pPr>
      <w:bookmarkStart w:id="12" w:name="_Toc71287698"/>
      <w:r w:rsidRPr="000859B3">
        <w:t>Typen vervoersmiddelen</w:t>
      </w:r>
      <w:r w:rsidR="008F17B0" w:rsidRPr="000859B3">
        <w:t xml:space="preserve"> en </w:t>
      </w:r>
      <w:r w:rsidR="00C91A22">
        <w:t>gebruikersgroepen</w:t>
      </w:r>
      <w:bookmarkEnd w:id="12"/>
    </w:p>
    <w:p w14:paraId="1CB89D23" w14:textId="138B26E5" w:rsidR="004A502F" w:rsidRDefault="00664895" w:rsidP="000131EB">
      <w:pPr>
        <w:spacing w:after="0" w:line="276" w:lineRule="auto"/>
        <w:rPr>
          <w:rFonts w:ascii="Avenir Next LT Pro Light" w:hAnsi="Avenir Next LT Pro Light"/>
        </w:rPr>
      </w:pPr>
      <w:r>
        <w:rPr>
          <w:rFonts w:ascii="Avenir Next LT Pro Light" w:hAnsi="Avenir Next LT Pro Light"/>
        </w:rPr>
        <w:t xml:space="preserve">Er zijn verschillende </w:t>
      </w:r>
      <w:r w:rsidR="007920ED">
        <w:rPr>
          <w:rFonts w:ascii="Avenir Next LT Pro Light" w:hAnsi="Avenir Next LT Pro Light"/>
        </w:rPr>
        <w:t>typen</w:t>
      </w:r>
      <w:r>
        <w:rPr>
          <w:rFonts w:ascii="Avenir Next LT Pro Light" w:hAnsi="Avenir Next LT Pro Light"/>
        </w:rPr>
        <w:t xml:space="preserve"> elektrische vervoersmiddelen</w:t>
      </w:r>
      <w:r w:rsidR="007920ED">
        <w:rPr>
          <w:rFonts w:ascii="Avenir Next LT Pro Light" w:hAnsi="Avenir Next LT Pro Light"/>
        </w:rPr>
        <w:t xml:space="preserve"> </w:t>
      </w:r>
      <w:r>
        <w:rPr>
          <w:rFonts w:ascii="Avenir Next LT Pro Light" w:hAnsi="Avenir Next LT Pro Light"/>
        </w:rPr>
        <w:t xml:space="preserve">waarvoor laadinfrastructuur beschikbaar moet zijn. De laadbehoefte verschilt per </w:t>
      </w:r>
      <w:r w:rsidR="007920ED">
        <w:rPr>
          <w:rFonts w:ascii="Avenir Next LT Pro Light" w:hAnsi="Avenir Next LT Pro Light"/>
        </w:rPr>
        <w:t xml:space="preserve">vervoersmiddel en </w:t>
      </w:r>
      <w:r w:rsidR="00D22914">
        <w:rPr>
          <w:rFonts w:ascii="Avenir Next LT Pro Light" w:hAnsi="Avenir Next LT Pro Light"/>
        </w:rPr>
        <w:t>gebruikers</w:t>
      </w:r>
      <w:r>
        <w:rPr>
          <w:rFonts w:ascii="Avenir Next LT Pro Light" w:hAnsi="Avenir Next LT Pro Light"/>
        </w:rPr>
        <w:t>groep</w:t>
      </w:r>
      <w:r w:rsidR="007920ED">
        <w:rPr>
          <w:rFonts w:ascii="Avenir Next LT Pro Light" w:hAnsi="Avenir Next LT Pro Light"/>
        </w:rPr>
        <w:t>.</w:t>
      </w:r>
      <w:r>
        <w:rPr>
          <w:rFonts w:ascii="Avenir Next LT Pro Light" w:hAnsi="Avenir Next LT Pro Light"/>
        </w:rPr>
        <w:t xml:space="preserve"> </w:t>
      </w:r>
      <w:r w:rsidR="007920ED">
        <w:rPr>
          <w:rFonts w:ascii="Avenir Next LT Pro Light" w:hAnsi="Avenir Next LT Pro Light"/>
        </w:rPr>
        <w:t>O</w:t>
      </w:r>
      <w:r>
        <w:rPr>
          <w:rFonts w:ascii="Avenir Next LT Pro Light" w:hAnsi="Avenir Next LT Pro Light"/>
        </w:rPr>
        <w:t xml:space="preserve">ok </w:t>
      </w:r>
      <w:r w:rsidR="00C91A22">
        <w:rPr>
          <w:rFonts w:ascii="Avenir Next LT Pro Light" w:hAnsi="Avenir Next LT Pro Light"/>
        </w:rPr>
        <w:t>bestaat er verschil</w:t>
      </w:r>
      <w:r>
        <w:rPr>
          <w:rFonts w:ascii="Avenir Next LT Pro Light" w:hAnsi="Avenir Next LT Pro Light"/>
        </w:rPr>
        <w:t xml:space="preserve"> in het type laadinfrastructuur dat bij voorkeur wordt gebuikt. In deze paragraaf lichten we de verschillend</w:t>
      </w:r>
      <w:r w:rsidR="00A46724">
        <w:rPr>
          <w:rFonts w:ascii="Avenir Next LT Pro Light" w:hAnsi="Avenir Next LT Pro Light"/>
        </w:rPr>
        <w:t>e</w:t>
      </w:r>
      <w:r>
        <w:rPr>
          <w:rFonts w:ascii="Avenir Next LT Pro Light" w:hAnsi="Avenir Next LT Pro Light"/>
        </w:rPr>
        <w:t xml:space="preserve"> doelgroepen en hun kenmerken toe</w:t>
      </w:r>
      <w:r w:rsidR="00477807">
        <w:rPr>
          <w:rStyle w:val="Voetnootmarkering"/>
          <w:rFonts w:ascii="Avenir Next LT Pro Light" w:hAnsi="Avenir Next LT Pro Light"/>
        </w:rPr>
        <w:footnoteReference w:id="7"/>
      </w:r>
      <w:r>
        <w:rPr>
          <w:rFonts w:ascii="Avenir Next LT Pro Light" w:hAnsi="Avenir Next LT Pro Light"/>
        </w:rPr>
        <w:t xml:space="preserve">. </w:t>
      </w:r>
      <w:r>
        <w:rPr>
          <w:rFonts w:ascii="Avenir Next LT Pro Light" w:hAnsi="Avenir Next LT Pro Light"/>
        </w:rPr>
        <w:br/>
      </w:r>
      <w:r>
        <w:rPr>
          <w:rFonts w:ascii="Avenir Next LT Pro Light" w:hAnsi="Avenir Next LT Pro Light"/>
        </w:rPr>
        <w:br/>
      </w:r>
      <w:r w:rsidR="00A05DC1" w:rsidRPr="00664895">
        <w:rPr>
          <w:rFonts w:ascii="Avenir Next LT Pro Light" w:hAnsi="Avenir Next LT Pro Light"/>
          <w:b/>
          <w:bCs/>
        </w:rPr>
        <w:t>Personenauto’s (incl. deelauto’s)</w:t>
      </w:r>
      <w:r w:rsidRPr="00664895">
        <w:rPr>
          <w:rFonts w:ascii="Avenir Next LT Pro Light" w:hAnsi="Avenir Next LT Pro Light"/>
          <w:b/>
          <w:bCs/>
        </w:rPr>
        <w:br/>
      </w:r>
      <w:r w:rsidR="00366147">
        <w:rPr>
          <w:rFonts w:ascii="Avenir Next LT Pro Light" w:hAnsi="Avenir Next LT Pro Light"/>
        </w:rPr>
        <w:t xml:space="preserve">Het Klimaatakkoord stelt dat in 2030 alle nieuw verkochte auto’s uitstootvrij zijn. Naar verwachting zal </w:t>
      </w:r>
      <w:r w:rsidR="00366147">
        <w:rPr>
          <w:rFonts w:ascii="Avenir Next LT Pro Light" w:hAnsi="Avenir Next LT Pro Light"/>
        </w:rPr>
        <w:lastRenderedPageBreak/>
        <w:t>het aantal elektrische personenauto’s de komende jaren daarom fors toenemen. Bestuurder</w:t>
      </w:r>
      <w:r w:rsidR="004A502F">
        <w:rPr>
          <w:rFonts w:ascii="Avenir Next LT Pro Light" w:hAnsi="Avenir Next LT Pro Light"/>
        </w:rPr>
        <w:t>s</w:t>
      </w:r>
      <w:r w:rsidR="00366147">
        <w:rPr>
          <w:rFonts w:ascii="Avenir Next LT Pro Light" w:hAnsi="Avenir Next LT Pro Light"/>
        </w:rPr>
        <w:t xml:space="preserve"> van personenauto’s laden voornamelijk bij reguliere laadpunten. Dit kunnen zowel openbare laadpunten als (semi-)private laadpunten</w:t>
      </w:r>
      <w:r w:rsidR="00C91A22">
        <w:rPr>
          <w:rFonts w:ascii="Avenir Next LT Pro Light" w:hAnsi="Avenir Next LT Pro Light"/>
        </w:rPr>
        <w:t xml:space="preserve"> zijn</w:t>
      </w:r>
      <w:r w:rsidR="00E26EE5">
        <w:rPr>
          <w:rFonts w:ascii="Avenir Next LT Pro Light" w:hAnsi="Avenir Next LT Pro Light"/>
        </w:rPr>
        <w:t xml:space="preserve">. Ongeveer 70 procent van de toekomstige elektrische rijders </w:t>
      </w:r>
      <w:r w:rsidR="00C91A22">
        <w:rPr>
          <w:rFonts w:ascii="Avenir Next LT Pro Light" w:hAnsi="Avenir Next LT Pro Light"/>
        </w:rPr>
        <w:t>is</w:t>
      </w:r>
      <w:r w:rsidR="00E26EE5">
        <w:rPr>
          <w:rFonts w:ascii="Avenir Next LT Pro Light" w:hAnsi="Avenir Next LT Pro Light"/>
        </w:rPr>
        <w:t xml:space="preserve"> aangewezen op publieke laadinfrastructuur vanwege het ontbreken van een mogelijkheid om te laden op eigen terrein</w:t>
      </w:r>
      <w:r w:rsidR="003D31DB">
        <w:rPr>
          <w:rFonts w:ascii="Avenir Next LT Pro Light" w:hAnsi="Avenir Next LT Pro Light"/>
        </w:rPr>
        <w:t xml:space="preserve"> (in landelijke gebieden zal dit percentage waarschijnlijk lager liggen)</w:t>
      </w:r>
      <w:r w:rsidR="00E26EE5">
        <w:rPr>
          <w:rFonts w:ascii="Avenir Next LT Pro Light" w:hAnsi="Avenir Next LT Pro Light"/>
        </w:rPr>
        <w:t>. V</w:t>
      </w:r>
      <w:r w:rsidR="008E51E2">
        <w:rPr>
          <w:rFonts w:ascii="Avenir Next LT Pro Light" w:hAnsi="Avenir Next LT Pro Light"/>
        </w:rPr>
        <w:t>aak</w:t>
      </w:r>
      <w:r w:rsidR="00E26EE5">
        <w:rPr>
          <w:rFonts w:ascii="Avenir Next LT Pro Light" w:hAnsi="Avenir Next LT Pro Light"/>
        </w:rPr>
        <w:t xml:space="preserve"> wordt</w:t>
      </w:r>
      <w:r w:rsidR="008E51E2">
        <w:rPr>
          <w:rFonts w:ascii="Avenir Next LT Pro Light" w:hAnsi="Avenir Next LT Pro Light"/>
        </w:rPr>
        <w:t xml:space="preserve"> thuis of op het werk</w:t>
      </w:r>
      <w:r w:rsidR="00E26EE5">
        <w:rPr>
          <w:rFonts w:ascii="Avenir Next LT Pro Light" w:hAnsi="Avenir Next LT Pro Light"/>
        </w:rPr>
        <w:t xml:space="preserve"> geladen</w:t>
      </w:r>
      <w:r w:rsidR="00366147">
        <w:rPr>
          <w:rFonts w:ascii="Avenir Next LT Pro Light" w:hAnsi="Avenir Next LT Pro Light"/>
        </w:rPr>
        <w:t>.</w:t>
      </w:r>
      <w:r w:rsidR="008E51E2">
        <w:rPr>
          <w:rFonts w:ascii="Avenir Next LT Pro Light" w:hAnsi="Avenir Next LT Pro Light"/>
        </w:rPr>
        <w:t xml:space="preserve"> Wanneer langere afstanden afgelegd moeten worden of meerdere reizen op een dag</w:t>
      </w:r>
      <w:r w:rsidR="00C91A22">
        <w:rPr>
          <w:rFonts w:ascii="Avenir Next LT Pro Light" w:hAnsi="Avenir Next LT Pro Light"/>
        </w:rPr>
        <w:t xml:space="preserve"> worden gemaakt is aanbod van</w:t>
      </w:r>
      <w:r w:rsidR="008E51E2">
        <w:rPr>
          <w:rFonts w:ascii="Avenir Next LT Pro Light" w:hAnsi="Avenir Next LT Pro Light"/>
        </w:rPr>
        <w:t xml:space="preserve"> snelladers</w:t>
      </w:r>
      <w:r w:rsidR="00C91A22">
        <w:rPr>
          <w:rFonts w:ascii="Avenir Next LT Pro Light" w:hAnsi="Avenir Next LT Pro Light"/>
        </w:rPr>
        <w:t xml:space="preserve"> noodzakelijk</w:t>
      </w:r>
      <w:r w:rsidR="008E51E2">
        <w:rPr>
          <w:rFonts w:ascii="Avenir Next LT Pro Light" w:hAnsi="Avenir Next LT Pro Light"/>
        </w:rPr>
        <w:t xml:space="preserve">. </w:t>
      </w:r>
      <w:r w:rsidR="008E51E2">
        <w:rPr>
          <w:rFonts w:ascii="Avenir Next LT Pro Light" w:hAnsi="Avenir Next LT Pro Light"/>
        </w:rPr>
        <w:br/>
      </w:r>
      <w:r w:rsidR="008E51E2">
        <w:rPr>
          <w:rFonts w:ascii="Avenir Next LT Pro Light" w:hAnsi="Avenir Next LT Pro Light"/>
        </w:rPr>
        <w:br/>
      </w:r>
      <w:r w:rsidR="00A05DC1" w:rsidRPr="00664895">
        <w:rPr>
          <w:rFonts w:ascii="Avenir Next LT Pro Light" w:hAnsi="Avenir Next LT Pro Light"/>
          <w:b/>
          <w:bCs/>
        </w:rPr>
        <w:t>Taxi</w:t>
      </w:r>
      <w:r w:rsidR="00366147">
        <w:rPr>
          <w:rFonts w:ascii="Avenir Next LT Pro Light" w:hAnsi="Avenir Next LT Pro Light"/>
          <w:b/>
          <w:bCs/>
        </w:rPr>
        <w:t>’</w:t>
      </w:r>
      <w:r w:rsidR="00A05DC1" w:rsidRPr="00664895">
        <w:rPr>
          <w:rFonts w:ascii="Avenir Next LT Pro Light" w:hAnsi="Avenir Next LT Pro Light"/>
          <w:b/>
          <w:bCs/>
        </w:rPr>
        <w:t xml:space="preserve">s </w:t>
      </w:r>
      <w:r w:rsidR="00366147">
        <w:rPr>
          <w:rFonts w:ascii="Avenir Next LT Pro Light" w:hAnsi="Avenir Next LT Pro Light"/>
          <w:b/>
          <w:bCs/>
        </w:rPr>
        <w:t>en d</w:t>
      </w:r>
      <w:r w:rsidR="00A05DC1" w:rsidRPr="00664895">
        <w:rPr>
          <w:rFonts w:ascii="Avenir Next LT Pro Light" w:hAnsi="Avenir Next LT Pro Light"/>
          <w:b/>
          <w:bCs/>
        </w:rPr>
        <w:t>oelgroepenvervoer</w:t>
      </w:r>
      <w:r w:rsidRPr="00664895">
        <w:rPr>
          <w:rFonts w:ascii="Avenir Next LT Pro Light" w:hAnsi="Avenir Next LT Pro Light"/>
          <w:b/>
          <w:bCs/>
        </w:rPr>
        <w:br/>
      </w:r>
      <w:r w:rsidR="008E51E2">
        <w:rPr>
          <w:rFonts w:ascii="Avenir Next LT Pro Light" w:hAnsi="Avenir Next LT Pro Light"/>
        </w:rPr>
        <w:t xml:space="preserve">Deze doelgroep maakt </w:t>
      </w:r>
      <w:r w:rsidR="007868C3">
        <w:rPr>
          <w:rFonts w:ascii="Avenir Next LT Pro Light" w:hAnsi="Avenir Next LT Pro Light"/>
        </w:rPr>
        <w:t xml:space="preserve">over het algemeen </w:t>
      </w:r>
      <w:r w:rsidR="008E51E2">
        <w:rPr>
          <w:rFonts w:ascii="Avenir Next LT Pro Light" w:hAnsi="Avenir Next LT Pro Light"/>
        </w:rPr>
        <w:t>veel voertuigkilometers op een dag. Dat heeft tot gevolg dat zij regelmatig gebruik moeten maken van (openbare) snelladers om bij te laden. De voertuigen worden op het werk of thuis volgeladen, maar dit is doorgaans niet voldoende om alle ritten te rijden. Ook kan bij reguliere laadpalen worden</w:t>
      </w:r>
      <w:r w:rsidR="008F1B43">
        <w:rPr>
          <w:rFonts w:ascii="Avenir Next LT Pro Light" w:hAnsi="Avenir Next LT Pro Light"/>
        </w:rPr>
        <w:t xml:space="preserve"> bijgeladen,</w:t>
      </w:r>
      <w:r w:rsidR="008E51E2">
        <w:rPr>
          <w:rFonts w:ascii="Avenir Next LT Pro Light" w:hAnsi="Avenir Next LT Pro Light"/>
        </w:rPr>
        <w:t xml:space="preserve"> maar </w:t>
      </w:r>
      <w:r w:rsidR="008F1B43">
        <w:rPr>
          <w:rFonts w:ascii="Avenir Next LT Pro Light" w:hAnsi="Avenir Next LT Pro Light"/>
        </w:rPr>
        <w:t xml:space="preserve">dit is </w:t>
      </w:r>
      <w:r w:rsidR="008E51E2">
        <w:rPr>
          <w:rFonts w:ascii="Avenir Next LT Pro Light" w:hAnsi="Avenir Next LT Pro Light"/>
        </w:rPr>
        <w:t xml:space="preserve">vanwege de tijdsduur is dit voor een commercieel </w:t>
      </w:r>
      <w:r w:rsidR="007868C3">
        <w:rPr>
          <w:rFonts w:ascii="Avenir Next LT Pro Light" w:hAnsi="Avenir Next LT Pro Light"/>
        </w:rPr>
        <w:t>(</w:t>
      </w:r>
      <w:r w:rsidR="008E51E2">
        <w:rPr>
          <w:rFonts w:ascii="Avenir Next LT Pro Light" w:hAnsi="Avenir Next LT Pro Light"/>
        </w:rPr>
        <w:t>taxi</w:t>
      </w:r>
      <w:r w:rsidR="007868C3">
        <w:rPr>
          <w:rFonts w:ascii="Avenir Next LT Pro Light" w:hAnsi="Avenir Next LT Pro Light"/>
        </w:rPr>
        <w:t>)</w:t>
      </w:r>
      <w:r w:rsidR="008E51E2">
        <w:rPr>
          <w:rFonts w:ascii="Avenir Next LT Pro Light" w:hAnsi="Avenir Next LT Pro Light"/>
        </w:rPr>
        <w:t xml:space="preserve">bedrijf </w:t>
      </w:r>
      <w:r w:rsidR="008F1B43">
        <w:rPr>
          <w:rFonts w:ascii="Avenir Next LT Pro Light" w:hAnsi="Avenir Next LT Pro Light"/>
        </w:rPr>
        <w:t>minder</w:t>
      </w:r>
      <w:r w:rsidR="008E51E2">
        <w:rPr>
          <w:rFonts w:ascii="Avenir Next LT Pro Light" w:hAnsi="Avenir Next LT Pro Light"/>
        </w:rPr>
        <w:t xml:space="preserve"> wenselijk. </w:t>
      </w:r>
      <w:r w:rsidR="007868C3">
        <w:rPr>
          <w:rFonts w:ascii="Avenir Next LT Pro Light" w:hAnsi="Avenir Next LT Pro Light"/>
        </w:rPr>
        <w:br/>
      </w:r>
      <w:r w:rsidR="007868C3">
        <w:rPr>
          <w:rFonts w:ascii="Avenir Next LT Pro Light" w:hAnsi="Avenir Next LT Pro Light"/>
        </w:rPr>
        <w:br/>
      </w:r>
      <w:r w:rsidR="00A05DC1" w:rsidRPr="00664895">
        <w:rPr>
          <w:rFonts w:ascii="Avenir Next LT Pro Light" w:hAnsi="Avenir Next LT Pro Light"/>
          <w:b/>
          <w:bCs/>
        </w:rPr>
        <w:t xml:space="preserve">Logistiek </w:t>
      </w:r>
      <w:r w:rsidRPr="00664895">
        <w:rPr>
          <w:rFonts w:ascii="Avenir Next LT Pro Light" w:hAnsi="Avenir Next LT Pro Light"/>
          <w:b/>
          <w:bCs/>
        </w:rPr>
        <w:br/>
      </w:r>
      <w:r w:rsidR="008F1B43">
        <w:rPr>
          <w:rFonts w:ascii="Avenir Next LT Pro Light" w:hAnsi="Avenir Next LT Pro Light"/>
        </w:rPr>
        <w:t>Voor de logistiek is de b</w:t>
      </w:r>
      <w:r w:rsidR="007C6CCC">
        <w:rPr>
          <w:rFonts w:ascii="Avenir Next LT Pro Light" w:hAnsi="Avenir Next LT Pro Light"/>
        </w:rPr>
        <w:t>etrouwb</w:t>
      </w:r>
      <w:r w:rsidR="008F1B43">
        <w:rPr>
          <w:rFonts w:ascii="Avenir Next LT Pro Light" w:hAnsi="Avenir Next LT Pro Light"/>
        </w:rPr>
        <w:t>a</w:t>
      </w:r>
      <w:r w:rsidR="007C6CCC">
        <w:rPr>
          <w:rFonts w:ascii="Avenir Next LT Pro Light" w:hAnsi="Avenir Next LT Pro Light"/>
        </w:rPr>
        <w:t>ar</w:t>
      </w:r>
      <w:r w:rsidR="008F1B43">
        <w:rPr>
          <w:rFonts w:ascii="Avenir Next LT Pro Light" w:hAnsi="Avenir Next LT Pro Light"/>
        </w:rPr>
        <w:t>heid en</w:t>
      </w:r>
      <w:r w:rsidR="007C6CCC">
        <w:rPr>
          <w:rFonts w:ascii="Avenir Next LT Pro Light" w:hAnsi="Avenir Next LT Pro Light"/>
        </w:rPr>
        <w:t xml:space="preserve"> beschikba</w:t>
      </w:r>
      <w:r w:rsidR="008F1B43">
        <w:rPr>
          <w:rFonts w:ascii="Avenir Next LT Pro Light" w:hAnsi="Avenir Next LT Pro Light"/>
        </w:rPr>
        <w:t>arheid</w:t>
      </w:r>
      <w:r w:rsidR="007C6CCC">
        <w:rPr>
          <w:rFonts w:ascii="Avenir Next LT Pro Light" w:hAnsi="Avenir Next LT Pro Light"/>
        </w:rPr>
        <w:t xml:space="preserve"> laadinfrastructuur</w:t>
      </w:r>
      <w:r w:rsidR="004A502F">
        <w:rPr>
          <w:rFonts w:ascii="Avenir Next LT Pro Light" w:hAnsi="Avenir Next LT Pro Light"/>
        </w:rPr>
        <w:t xml:space="preserve"> </w:t>
      </w:r>
      <w:r w:rsidR="008F1B43">
        <w:rPr>
          <w:rFonts w:ascii="Avenir Next LT Pro Light" w:hAnsi="Avenir Next LT Pro Light"/>
        </w:rPr>
        <w:t>zeer</w:t>
      </w:r>
      <w:r w:rsidR="007C6CCC">
        <w:rPr>
          <w:rFonts w:ascii="Avenir Next LT Pro Light" w:hAnsi="Avenir Next LT Pro Light"/>
        </w:rPr>
        <w:t xml:space="preserve"> belangrijk. </w:t>
      </w:r>
      <w:r w:rsidR="00C76666">
        <w:rPr>
          <w:rFonts w:ascii="Avenir Next LT Pro Light" w:hAnsi="Avenir Next LT Pro Light"/>
        </w:rPr>
        <w:t xml:space="preserve">Binnen </w:t>
      </w:r>
      <w:r w:rsidR="008F1B43">
        <w:rPr>
          <w:rFonts w:ascii="Avenir Next LT Pro Light" w:hAnsi="Avenir Next LT Pro Light"/>
        </w:rPr>
        <w:t>deze</w:t>
      </w:r>
      <w:r w:rsidR="00C76666">
        <w:rPr>
          <w:rFonts w:ascii="Avenir Next LT Pro Light" w:hAnsi="Avenir Next LT Pro Light"/>
        </w:rPr>
        <w:t xml:space="preserve"> doelgroep </w:t>
      </w:r>
      <w:r w:rsidR="008F1B43">
        <w:rPr>
          <w:rFonts w:ascii="Avenir Next LT Pro Light" w:hAnsi="Avenir Next LT Pro Light"/>
        </w:rPr>
        <w:t>kan</w:t>
      </w:r>
      <w:r w:rsidR="00C76666">
        <w:rPr>
          <w:rFonts w:ascii="Avenir Next LT Pro Light" w:hAnsi="Avenir Next LT Pro Light"/>
        </w:rPr>
        <w:t xml:space="preserve"> onderscheid </w:t>
      </w:r>
      <w:r w:rsidR="008F1B43">
        <w:rPr>
          <w:rFonts w:ascii="Avenir Next LT Pro Light" w:hAnsi="Avenir Next LT Pro Light"/>
        </w:rPr>
        <w:t>worden gemaakt</w:t>
      </w:r>
      <w:r w:rsidR="00C76666">
        <w:rPr>
          <w:rFonts w:ascii="Avenir Next LT Pro Light" w:hAnsi="Avenir Next LT Pro Light"/>
        </w:rPr>
        <w:t xml:space="preserve"> tussen lichte logistiek (bijv. bestelwagens) en zware logistiek (vrachtverkeer). Zware logistiek vraagt om andere laadinfrastructuur dan lichte logistiek. </w:t>
      </w:r>
      <w:r w:rsidR="007C6CCC" w:rsidRPr="007C6CCC">
        <w:rPr>
          <w:rFonts w:ascii="Avenir Next LT Pro Light" w:hAnsi="Avenir Next LT Pro Light"/>
        </w:rPr>
        <w:t>Door op eigen terrein</w:t>
      </w:r>
      <w:r w:rsidR="003D31DB">
        <w:rPr>
          <w:rFonts w:ascii="Avenir Next LT Pro Light" w:hAnsi="Avenir Next LT Pro Light"/>
        </w:rPr>
        <w:t xml:space="preserve"> (van logistieke bedrijven)</w:t>
      </w:r>
      <w:r w:rsidR="007C6CCC" w:rsidRPr="007C6CCC">
        <w:rPr>
          <w:rFonts w:ascii="Avenir Next LT Pro Light" w:hAnsi="Avenir Next LT Pro Light"/>
        </w:rPr>
        <w:t xml:space="preserve"> laadinfrastructuur aan te leggen kan er onder eigen regie toegang tot de laadinfrastructuur geboden worden en kan tegen lage energiekosten geladen worden. </w:t>
      </w:r>
      <w:r w:rsidR="008F3CB8">
        <w:rPr>
          <w:rFonts w:ascii="Avenir Next LT Pro Light" w:hAnsi="Avenir Next LT Pro Light"/>
        </w:rPr>
        <w:t xml:space="preserve">Op eigen terrein zal dit een combinatie zijn tussen regulier (’s nachts) laden en snelladen (bijladen). </w:t>
      </w:r>
      <w:r w:rsidR="007C6CCC" w:rsidRPr="007C6CCC">
        <w:rPr>
          <w:rFonts w:ascii="Avenir Next LT Pro Light" w:hAnsi="Avenir Next LT Pro Light"/>
        </w:rPr>
        <w:t>Bij ruimtegebrek op eigen terrein, onvoldoende financieringsmogelijkheden of in een pilot fase zullen deze partijen ook gebruik willen maken van semi-publieke en publieke laadinfrastructuur. Daarnaast kan de publieke en semi-publieke infrastructuur gebruikt worden om tussentijds bij te laden.</w:t>
      </w:r>
      <w:r w:rsidR="008F3CB8">
        <w:rPr>
          <w:rFonts w:ascii="Avenir Next LT Pro Light" w:hAnsi="Avenir Next LT Pro Light"/>
        </w:rPr>
        <w:t xml:space="preserve"> </w:t>
      </w:r>
      <w:r w:rsidR="008F3CB8" w:rsidRPr="008F3CB8">
        <w:rPr>
          <w:rFonts w:ascii="Avenir Next LT Pro Light" w:hAnsi="Avenir Next LT Pro Light"/>
        </w:rPr>
        <w:t xml:space="preserve">Het is voor de openbare ruimte nog de vraag of er voldoende gebruik is om de business case voor de snelladers rond te krijgen als het alleen als aanvulling op laden op eigen terrein en alleen voor stadslogistiek of doelgroepenvervoer is. Daarom </w:t>
      </w:r>
      <w:r w:rsidR="008F1B43">
        <w:rPr>
          <w:rFonts w:ascii="Avenir Next LT Pro Light" w:hAnsi="Avenir Next LT Pro Light"/>
        </w:rPr>
        <w:t>worden</w:t>
      </w:r>
      <w:r w:rsidR="008F3CB8" w:rsidRPr="008F3CB8">
        <w:rPr>
          <w:rFonts w:ascii="Avenir Next LT Pro Light" w:hAnsi="Avenir Next LT Pro Light"/>
        </w:rPr>
        <w:t xml:space="preserve"> bij voorkeur de openbare locaties ten behoeve van taxi’s en personenvoertuigen ook op de voor logistiek en doelgroepenvervoer gunstige locaties gerealiseerd.</w:t>
      </w:r>
      <w:r w:rsidR="007C6CCC">
        <w:rPr>
          <w:rFonts w:ascii="Avenir Next LT Pro Light" w:hAnsi="Avenir Next LT Pro Light"/>
        </w:rPr>
        <w:br/>
      </w:r>
      <w:r w:rsidR="007C6CCC">
        <w:rPr>
          <w:rFonts w:ascii="Avenir Next LT Pro Light" w:hAnsi="Avenir Next LT Pro Light"/>
        </w:rPr>
        <w:br/>
      </w:r>
      <w:r w:rsidR="00A05DC1" w:rsidRPr="00664895">
        <w:rPr>
          <w:rFonts w:ascii="Avenir Next LT Pro Light" w:hAnsi="Avenir Next LT Pro Light"/>
          <w:b/>
          <w:bCs/>
        </w:rPr>
        <w:t>OV</w:t>
      </w:r>
      <w:r w:rsidR="007868C3">
        <w:rPr>
          <w:rFonts w:ascii="Avenir Next LT Pro Light" w:hAnsi="Avenir Next LT Pro Light"/>
          <w:b/>
          <w:bCs/>
        </w:rPr>
        <w:t>-</w:t>
      </w:r>
      <w:r w:rsidR="00A05DC1" w:rsidRPr="00664895">
        <w:rPr>
          <w:rFonts w:ascii="Avenir Next LT Pro Light" w:hAnsi="Avenir Next LT Pro Light"/>
          <w:b/>
          <w:bCs/>
        </w:rPr>
        <w:t>bussen</w:t>
      </w:r>
      <w:r w:rsidR="007868C3">
        <w:rPr>
          <w:rFonts w:ascii="Avenir Next LT Pro Light" w:hAnsi="Avenir Next LT Pro Light"/>
          <w:b/>
          <w:bCs/>
        </w:rPr>
        <w:br/>
      </w:r>
      <w:r w:rsidR="007868C3" w:rsidRPr="007868C3">
        <w:rPr>
          <w:rFonts w:ascii="Avenir Next LT Pro Light" w:hAnsi="Avenir Next LT Pro Light"/>
        </w:rPr>
        <w:t>De nieuwe concessieovereenkomsten die op de markt worden gebracht door OV</w:t>
      </w:r>
      <w:r w:rsidR="00A16E87">
        <w:rPr>
          <w:rFonts w:ascii="Avenir Next LT Pro Light" w:hAnsi="Avenir Next LT Pro Light"/>
        </w:rPr>
        <w:t>-</w:t>
      </w:r>
      <w:r w:rsidR="007868C3" w:rsidRPr="007868C3">
        <w:rPr>
          <w:rFonts w:ascii="Avenir Next LT Pro Light" w:hAnsi="Avenir Next LT Pro Light"/>
        </w:rPr>
        <w:t>autoriteiten bevatten allemaal een vorm van zero-emissie busvervoer</w:t>
      </w:r>
      <w:r w:rsidR="00A16E87">
        <w:rPr>
          <w:rFonts w:ascii="Avenir Next LT Pro Light" w:hAnsi="Avenir Next LT Pro Light"/>
        </w:rPr>
        <w:t>.</w:t>
      </w:r>
      <w:r w:rsidR="007868C3" w:rsidRPr="007868C3">
        <w:rPr>
          <w:rFonts w:ascii="Avenir Next LT Pro Light" w:hAnsi="Avenir Next LT Pro Light"/>
        </w:rPr>
        <w:t xml:space="preserve"> </w:t>
      </w:r>
      <w:r w:rsidR="00A16E87">
        <w:rPr>
          <w:rFonts w:ascii="Avenir Next LT Pro Light" w:hAnsi="Avenir Next LT Pro Light"/>
        </w:rPr>
        <w:t>D</w:t>
      </w:r>
      <w:r w:rsidR="007868C3" w:rsidRPr="007868C3">
        <w:rPr>
          <w:rFonts w:ascii="Avenir Next LT Pro Light" w:hAnsi="Avenir Next LT Pro Light"/>
        </w:rPr>
        <w:t>it kan volledig zero-emissie zijn maar ook een groeimodel waarin gedurende de looptijd naar een volledig uitstuitvrij</w:t>
      </w:r>
      <w:r w:rsidR="00A16E87">
        <w:rPr>
          <w:rFonts w:ascii="Avenir Next LT Pro Light" w:hAnsi="Avenir Next LT Pro Light"/>
        </w:rPr>
        <w:t>e</w:t>
      </w:r>
      <w:r w:rsidR="007868C3" w:rsidRPr="007868C3">
        <w:rPr>
          <w:rFonts w:ascii="Avenir Next LT Pro Light" w:hAnsi="Avenir Next LT Pro Light"/>
        </w:rPr>
        <w:t xml:space="preserve"> vloot wordt toege</w:t>
      </w:r>
      <w:r w:rsidR="00A16E87">
        <w:rPr>
          <w:rFonts w:ascii="Avenir Next LT Pro Light" w:hAnsi="Avenir Next LT Pro Light"/>
        </w:rPr>
        <w:t xml:space="preserve">werkt. </w:t>
      </w:r>
      <w:r w:rsidR="00A16E87" w:rsidRPr="00A16E87">
        <w:rPr>
          <w:rFonts w:ascii="Avenir Next LT Pro Light" w:hAnsi="Avenir Next LT Pro Light"/>
        </w:rPr>
        <w:t>De elektrische bussen worden ‘s nachts op de remise opgeladen zodat ze in de ochtend met een volle accu kunnen vertrekken. De bussen rijden de hele dag door en hebben omvangrijke accupakketten die tussentijds moeten worden bijgeladen.</w:t>
      </w:r>
      <w:r w:rsidR="00A16E87">
        <w:rPr>
          <w:rFonts w:ascii="Avenir Next LT Pro Light" w:hAnsi="Avenir Next LT Pro Light"/>
        </w:rPr>
        <w:t xml:space="preserve"> Laadinfrastructuur voor bussen wordt geplaatst bij bushaltes en OV-hubs waar veel bussen samenkomen en/of langer stilstaan. </w:t>
      </w:r>
      <w:r w:rsidR="00A16E87" w:rsidRPr="00A16E87">
        <w:rPr>
          <w:rFonts w:ascii="Avenir Next LT Pro Light" w:hAnsi="Avenir Next LT Pro Light"/>
        </w:rPr>
        <w:t xml:space="preserve">Het begin- en eindpunt van een route of een centrale plek zoals een treinstation zijn veel toegepaste locaties. </w:t>
      </w:r>
      <w:r w:rsidR="00A16E87">
        <w:rPr>
          <w:rFonts w:ascii="Avenir Next LT Pro Light" w:hAnsi="Avenir Next LT Pro Light"/>
        </w:rPr>
        <w:t xml:space="preserve">Op dit moment worden snelladers nog niet opengesteld voor andere gebruikers omdat de </w:t>
      </w:r>
      <w:r w:rsidR="00A16E87" w:rsidRPr="00A16E87">
        <w:rPr>
          <w:rFonts w:ascii="Avenir Next LT Pro Light" w:hAnsi="Avenir Next LT Pro Light"/>
        </w:rPr>
        <w:t>concessiehouder wil kunnen</w:t>
      </w:r>
      <w:r w:rsidR="00A16E87">
        <w:rPr>
          <w:rFonts w:ascii="Avenir Next LT Pro Light" w:hAnsi="Avenir Next LT Pro Light"/>
        </w:rPr>
        <w:t xml:space="preserve"> borgen</w:t>
      </w:r>
      <w:r w:rsidR="00A16E87" w:rsidRPr="00A16E87">
        <w:rPr>
          <w:rFonts w:ascii="Avenir Next LT Pro Light" w:hAnsi="Avenir Next LT Pro Light"/>
        </w:rPr>
        <w:t xml:space="preserve"> dat de </w:t>
      </w:r>
      <w:r w:rsidR="00A16E87">
        <w:rPr>
          <w:rFonts w:ascii="Avenir Next LT Pro Light" w:hAnsi="Avenir Next LT Pro Light"/>
        </w:rPr>
        <w:t>laadinfrastructuur</w:t>
      </w:r>
      <w:r w:rsidR="00A16E87" w:rsidRPr="00A16E87">
        <w:rPr>
          <w:rFonts w:ascii="Avenir Next LT Pro Light" w:hAnsi="Avenir Next LT Pro Light"/>
        </w:rPr>
        <w:t xml:space="preserve"> altijd beschikbaar is voor de eigen bussen</w:t>
      </w:r>
      <w:r w:rsidR="00A16E87">
        <w:rPr>
          <w:rFonts w:ascii="Avenir Next LT Pro Light" w:hAnsi="Avenir Next LT Pro Light"/>
        </w:rPr>
        <w:t>.</w:t>
      </w:r>
      <w:r w:rsidR="00A16E87" w:rsidRPr="00A16E87">
        <w:rPr>
          <w:rFonts w:ascii="Avenir Next LT Pro Light" w:hAnsi="Avenir Next LT Pro Light"/>
        </w:rPr>
        <w:t xml:space="preserve"> </w:t>
      </w:r>
      <w:r w:rsidR="00A16E87">
        <w:rPr>
          <w:rFonts w:ascii="Avenir Next LT Pro Light" w:hAnsi="Avenir Next LT Pro Light"/>
        </w:rPr>
        <w:br/>
      </w:r>
      <w:r w:rsidR="00A16E87">
        <w:rPr>
          <w:rFonts w:ascii="Avenir Next LT Pro Light" w:hAnsi="Avenir Next LT Pro Light"/>
        </w:rPr>
        <w:br/>
      </w:r>
      <w:r w:rsidR="00A05DC1" w:rsidRPr="00664895">
        <w:rPr>
          <w:rFonts w:ascii="Avenir Next LT Pro Light" w:hAnsi="Avenir Next LT Pro Light"/>
          <w:b/>
          <w:bCs/>
        </w:rPr>
        <w:t xml:space="preserve">Touringcars </w:t>
      </w:r>
      <w:r w:rsidRPr="00664895">
        <w:rPr>
          <w:rFonts w:ascii="Avenir Next LT Pro Light" w:hAnsi="Avenir Next LT Pro Light"/>
          <w:b/>
          <w:bCs/>
        </w:rPr>
        <w:br/>
      </w:r>
      <w:r w:rsidR="00A16E87">
        <w:rPr>
          <w:rFonts w:ascii="Avenir Next LT Pro Light" w:hAnsi="Avenir Next LT Pro Light"/>
        </w:rPr>
        <w:t xml:space="preserve">Naast OV-bussen </w:t>
      </w:r>
      <w:r w:rsidR="00E969A6">
        <w:rPr>
          <w:rFonts w:ascii="Avenir Next LT Pro Light" w:hAnsi="Avenir Next LT Pro Light"/>
        </w:rPr>
        <w:t>vraagt ook</w:t>
      </w:r>
      <w:r w:rsidR="00A16E87">
        <w:rPr>
          <w:rFonts w:ascii="Avenir Next LT Pro Light" w:hAnsi="Avenir Next LT Pro Light"/>
        </w:rPr>
        <w:t xml:space="preserve"> </w:t>
      </w:r>
      <w:r w:rsidR="00E969A6">
        <w:rPr>
          <w:rFonts w:ascii="Avenir Next LT Pro Light" w:hAnsi="Avenir Next LT Pro Light"/>
        </w:rPr>
        <w:t xml:space="preserve">de elektrificering van touringcars steeds vaker aandacht. </w:t>
      </w:r>
      <w:r w:rsidR="00A16E87">
        <w:rPr>
          <w:rFonts w:ascii="Avenir Next LT Pro Light" w:hAnsi="Avenir Next LT Pro Light"/>
        </w:rPr>
        <w:t xml:space="preserve">Met name in gemeenten waar veel toeristen komen. </w:t>
      </w:r>
      <w:r w:rsidR="00E969A6">
        <w:rPr>
          <w:rFonts w:ascii="Avenir Next LT Pro Light" w:hAnsi="Avenir Next LT Pro Light"/>
        </w:rPr>
        <w:t xml:space="preserve">Op dit moment lijkt de touringcarsector een moeilijke markt om </w:t>
      </w:r>
      <w:r w:rsidR="00E969A6">
        <w:rPr>
          <w:rFonts w:ascii="Avenir Next LT Pro Light" w:hAnsi="Avenir Next LT Pro Light"/>
        </w:rPr>
        <w:lastRenderedPageBreak/>
        <w:t xml:space="preserve">te elektrificeren. Touringcars hebben </w:t>
      </w:r>
      <w:r w:rsidR="0044473A">
        <w:rPr>
          <w:rFonts w:ascii="Avenir Next LT Pro Light" w:hAnsi="Avenir Next LT Pro Light"/>
        </w:rPr>
        <w:t xml:space="preserve">vaak </w:t>
      </w:r>
      <w:r w:rsidR="00E969A6">
        <w:rPr>
          <w:rFonts w:ascii="Avenir Next LT Pro Light" w:hAnsi="Avenir Next LT Pro Light"/>
        </w:rPr>
        <w:t xml:space="preserve">wisselende ritten (lange en korte ritten met hetzelfde voertuig) en elektrificatie is daardoor moeilijk te realiseren. </w:t>
      </w:r>
      <w:r w:rsidR="0044473A">
        <w:rPr>
          <w:rFonts w:ascii="Avenir Next LT Pro Light" w:hAnsi="Avenir Next LT Pro Light"/>
        </w:rPr>
        <w:t xml:space="preserve">Wanneer touringcars worden ingezet op intensieve en frequente ritten is de aanschaf van een volledig elektrisch voertuig </w:t>
      </w:r>
      <w:r w:rsidR="008F1B43">
        <w:rPr>
          <w:rFonts w:ascii="Avenir Next LT Pro Light" w:hAnsi="Avenir Next LT Pro Light"/>
        </w:rPr>
        <w:t>mogelijk</w:t>
      </w:r>
      <w:r w:rsidR="0044473A">
        <w:rPr>
          <w:rFonts w:ascii="Avenir Next LT Pro Light" w:hAnsi="Avenir Next LT Pro Light"/>
        </w:rPr>
        <w:t xml:space="preserve"> te realiseren. </w:t>
      </w:r>
      <w:r w:rsidR="0044473A" w:rsidRPr="0044473A">
        <w:rPr>
          <w:rFonts w:ascii="Avenir Next LT Pro Light" w:hAnsi="Avenir Next LT Pro Light"/>
        </w:rPr>
        <w:t>Voor de meeste voertuigen lijkt dit op korte termijn niet realistisch. Plug-in hybride modellen kunnen mogelijkerwijs een uitkomst bieden.</w:t>
      </w:r>
      <w:r w:rsidR="0044473A">
        <w:rPr>
          <w:rFonts w:ascii="Avenir Next LT Pro Light" w:hAnsi="Avenir Next LT Pro Light"/>
        </w:rPr>
        <w:t xml:space="preserve"> Als elektrische touringcars in de toekomst gebruikt gaan worden, is het v</w:t>
      </w:r>
      <w:r w:rsidR="00A16E87">
        <w:rPr>
          <w:rFonts w:ascii="Avenir Next LT Pro Light" w:hAnsi="Avenir Next LT Pro Light"/>
        </w:rPr>
        <w:t>oor de exploitant belangrijk dat er op elk moment geladen kan worden. Daarom z</w:t>
      </w:r>
      <w:r w:rsidR="0044473A">
        <w:rPr>
          <w:rFonts w:ascii="Avenir Next LT Pro Light" w:hAnsi="Avenir Next LT Pro Light"/>
        </w:rPr>
        <w:t>ulle</w:t>
      </w:r>
      <w:r w:rsidR="00A16E87">
        <w:rPr>
          <w:rFonts w:ascii="Avenir Next LT Pro Light" w:hAnsi="Avenir Next LT Pro Light"/>
        </w:rPr>
        <w:t xml:space="preserve">n </w:t>
      </w:r>
      <w:r w:rsidR="007C6CCC">
        <w:rPr>
          <w:rFonts w:ascii="Avenir Next LT Pro Light" w:hAnsi="Avenir Next LT Pro Light"/>
        </w:rPr>
        <w:t>publieke</w:t>
      </w:r>
      <w:r w:rsidR="00A16E87">
        <w:rPr>
          <w:rFonts w:ascii="Avenir Next LT Pro Light" w:hAnsi="Avenir Next LT Pro Light"/>
        </w:rPr>
        <w:t xml:space="preserve"> laadoplossingen waarschijnlijk </w:t>
      </w:r>
      <w:r w:rsidR="007C6CCC">
        <w:rPr>
          <w:rFonts w:ascii="Avenir Next LT Pro Light" w:hAnsi="Avenir Next LT Pro Light"/>
        </w:rPr>
        <w:t xml:space="preserve">geen mogelijkheid </w:t>
      </w:r>
      <w:r w:rsidR="0044473A">
        <w:rPr>
          <w:rFonts w:ascii="Avenir Next LT Pro Light" w:hAnsi="Avenir Next LT Pro Light"/>
        </w:rPr>
        <w:t xml:space="preserve">zijn </w:t>
      </w:r>
      <w:r w:rsidR="007C6CCC">
        <w:rPr>
          <w:rFonts w:ascii="Avenir Next LT Pro Light" w:hAnsi="Avenir Next LT Pro Light"/>
        </w:rPr>
        <w:t xml:space="preserve">voor deze doelgroep. </w:t>
      </w:r>
    </w:p>
    <w:p w14:paraId="71710D19" w14:textId="77777777" w:rsidR="00A84E1C" w:rsidRPr="001C40D4" w:rsidRDefault="0079322E" w:rsidP="000131EB">
      <w:pPr>
        <w:spacing w:after="0" w:line="276" w:lineRule="auto"/>
        <w:rPr>
          <w:rFonts w:ascii="Avenir Next LT Pro Light" w:hAnsi="Avenir Next LT Pro Light"/>
        </w:rPr>
      </w:pPr>
      <w:r>
        <w:rPr>
          <w:rFonts w:ascii="Avenir Next LT Pro Light" w:hAnsi="Avenir Next LT Pro Light"/>
        </w:rPr>
        <w:br/>
      </w:r>
    </w:p>
    <w:p w14:paraId="19105991" w14:textId="7D5BC641" w:rsidR="0079322E" w:rsidRPr="001C40D4" w:rsidRDefault="0079322E" w:rsidP="000131EB">
      <w:pPr>
        <w:pStyle w:val="Bijschrift"/>
        <w:keepNext/>
        <w:spacing w:after="0" w:line="276" w:lineRule="auto"/>
        <w:rPr>
          <w:rFonts w:ascii="Avenir Next LT Pro Light" w:hAnsi="Avenir Next LT Pro Light"/>
          <w:color w:val="auto"/>
        </w:rPr>
      </w:pPr>
      <w:r w:rsidRPr="001C40D4">
        <w:rPr>
          <w:rFonts w:ascii="Avenir Next LT Pro Light" w:hAnsi="Avenir Next LT Pro Light"/>
          <w:color w:val="auto"/>
        </w:rPr>
        <w:t xml:space="preserve">Tabel </w:t>
      </w:r>
      <w:r w:rsidR="001C40D4">
        <w:rPr>
          <w:rFonts w:ascii="Avenir Next LT Pro Light" w:hAnsi="Avenir Next LT Pro Light"/>
          <w:color w:val="auto"/>
        </w:rPr>
        <w:fldChar w:fldCharType="begin"/>
      </w:r>
      <w:r w:rsidR="001C40D4">
        <w:rPr>
          <w:rFonts w:ascii="Avenir Next LT Pro Light" w:hAnsi="Avenir Next LT Pro Light"/>
          <w:color w:val="auto"/>
        </w:rPr>
        <w:instrText xml:space="preserve"> STYLEREF 1 \s </w:instrText>
      </w:r>
      <w:r w:rsidR="001C40D4">
        <w:rPr>
          <w:rFonts w:ascii="Avenir Next LT Pro Light" w:hAnsi="Avenir Next LT Pro Light"/>
          <w:color w:val="auto"/>
        </w:rPr>
        <w:fldChar w:fldCharType="separate"/>
      </w:r>
      <w:r w:rsidR="00677C1D">
        <w:rPr>
          <w:rFonts w:ascii="Avenir Next LT Pro Light" w:hAnsi="Avenir Next LT Pro Light"/>
          <w:noProof/>
          <w:color w:val="auto"/>
        </w:rPr>
        <w:t>3</w:t>
      </w:r>
      <w:r w:rsidR="001C40D4">
        <w:rPr>
          <w:rFonts w:ascii="Avenir Next LT Pro Light" w:hAnsi="Avenir Next LT Pro Light"/>
          <w:color w:val="auto"/>
        </w:rPr>
        <w:fldChar w:fldCharType="end"/>
      </w:r>
      <w:r w:rsidR="001C40D4">
        <w:rPr>
          <w:rFonts w:ascii="Avenir Next LT Pro Light" w:hAnsi="Avenir Next LT Pro Light"/>
          <w:color w:val="auto"/>
        </w:rPr>
        <w:t>.</w:t>
      </w:r>
      <w:r w:rsidR="001C40D4">
        <w:rPr>
          <w:rFonts w:ascii="Avenir Next LT Pro Light" w:hAnsi="Avenir Next LT Pro Light"/>
          <w:color w:val="auto"/>
        </w:rPr>
        <w:fldChar w:fldCharType="begin"/>
      </w:r>
      <w:r w:rsidR="001C40D4">
        <w:rPr>
          <w:rFonts w:ascii="Avenir Next LT Pro Light" w:hAnsi="Avenir Next LT Pro Light"/>
          <w:color w:val="auto"/>
        </w:rPr>
        <w:instrText xml:space="preserve"> SEQ Tabel \* ARABIC \s 1 </w:instrText>
      </w:r>
      <w:r w:rsidR="001C40D4">
        <w:rPr>
          <w:rFonts w:ascii="Avenir Next LT Pro Light" w:hAnsi="Avenir Next LT Pro Light"/>
          <w:color w:val="auto"/>
        </w:rPr>
        <w:fldChar w:fldCharType="separate"/>
      </w:r>
      <w:r w:rsidR="00677C1D">
        <w:rPr>
          <w:rFonts w:ascii="Avenir Next LT Pro Light" w:hAnsi="Avenir Next LT Pro Light"/>
          <w:noProof/>
          <w:color w:val="auto"/>
        </w:rPr>
        <w:t>1</w:t>
      </w:r>
      <w:r w:rsidR="001C40D4">
        <w:rPr>
          <w:rFonts w:ascii="Avenir Next LT Pro Light" w:hAnsi="Avenir Next LT Pro Light"/>
          <w:color w:val="auto"/>
        </w:rPr>
        <w:fldChar w:fldCharType="end"/>
      </w:r>
      <w:r w:rsidRPr="001C40D4">
        <w:rPr>
          <w:rFonts w:ascii="Avenir Next LT Pro Light" w:hAnsi="Avenir Next LT Pro Light"/>
          <w:color w:val="auto"/>
        </w:rPr>
        <w:t xml:space="preserve"> Overzicht doelgroepen en vormen van laden </w:t>
      </w:r>
    </w:p>
    <w:tbl>
      <w:tblPr>
        <w:tblStyle w:val="Tabelraster"/>
        <w:tblW w:w="5000" w:type="pct"/>
        <w:tblLook w:val="04A0" w:firstRow="1" w:lastRow="0" w:firstColumn="1" w:lastColumn="0" w:noHBand="0" w:noVBand="1"/>
      </w:tblPr>
      <w:tblGrid>
        <w:gridCol w:w="1555"/>
        <w:gridCol w:w="3469"/>
        <w:gridCol w:w="3471"/>
      </w:tblGrid>
      <w:tr w:rsidR="002174F4" w14:paraId="227F4436" w14:textId="77777777" w:rsidTr="0096231C">
        <w:tc>
          <w:tcPr>
            <w:tcW w:w="915" w:type="pct"/>
            <w:shd w:val="clear" w:color="auto" w:fill="D0CECE" w:themeFill="background2" w:themeFillShade="E6"/>
          </w:tcPr>
          <w:p w14:paraId="2348CF4B" w14:textId="77777777" w:rsidR="002174F4" w:rsidRPr="002174F4" w:rsidRDefault="002174F4" w:rsidP="000131EB">
            <w:pPr>
              <w:spacing w:line="276" w:lineRule="auto"/>
              <w:rPr>
                <w:rFonts w:ascii="Avenir Next LT Pro Light" w:hAnsi="Avenir Next LT Pro Light"/>
                <w:b/>
                <w:bCs/>
              </w:rPr>
            </w:pPr>
          </w:p>
        </w:tc>
        <w:tc>
          <w:tcPr>
            <w:tcW w:w="2042" w:type="pct"/>
            <w:shd w:val="clear" w:color="auto" w:fill="D0CECE" w:themeFill="background2" w:themeFillShade="E6"/>
          </w:tcPr>
          <w:p w14:paraId="3B452BE4" w14:textId="77777777" w:rsidR="002174F4" w:rsidRPr="002174F4" w:rsidRDefault="002174F4" w:rsidP="000131EB">
            <w:pPr>
              <w:spacing w:line="276" w:lineRule="auto"/>
              <w:jc w:val="center"/>
              <w:rPr>
                <w:rFonts w:ascii="Avenir Next LT Pro Light" w:hAnsi="Avenir Next LT Pro Light"/>
                <w:b/>
                <w:bCs/>
              </w:rPr>
            </w:pPr>
            <w:r w:rsidRPr="002174F4">
              <w:rPr>
                <w:rFonts w:ascii="Avenir Next LT Pro Light" w:hAnsi="Avenir Next LT Pro Light"/>
                <w:b/>
                <w:bCs/>
              </w:rPr>
              <w:t xml:space="preserve">Regulier </w:t>
            </w:r>
            <w:r>
              <w:rPr>
                <w:rFonts w:ascii="Avenir Next LT Pro Light" w:hAnsi="Avenir Next LT Pro Light"/>
                <w:b/>
                <w:bCs/>
              </w:rPr>
              <w:t>laden</w:t>
            </w:r>
          </w:p>
        </w:tc>
        <w:tc>
          <w:tcPr>
            <w:tcW w:w="2043" w:type="pct"/>
            <w:shd w:val="clear" w:color="auto" w:fill="D0CECE" w:themeFill="background2" w:themeFillShade="E6"/>
          </w:tcPr>
          <w:p w14:paraId="67B193C8" w14:textId="77777777" w:rsidR="002174F4" w:rsidRPr="002174F4" w:rsidRDefault="002174F4" w:rsidP="000131EB">
            <w:pPr>
              <w:spacing w:line="276" w:lineRule="auto"/>
              <w:jc w:val="center"/>
              <w:rPr>
                <w:rFonts w:ascii="Avenir Next LT Pro Light" w:hAnsi="Avenir Next LT Pro Light"/>
                <w:b/>
                <w:bCs/>
              </w:rPr>
            </w:pPr>
            <w:r>
              <w:rPr>
                <w:rFonts w:ascii="Avenir Next LT Pro Light" w:hAnsi="Avenir Next LT Pro Light"/>
                <w:b/>
                <w:bCs/>
              </w:rPr>
              <w:t>Snelladen</w:t>
            </w:r>
          </w:p>
        </w:tc>
      </w:tr>
      <w:tr w:rsidR="002174F4" w14:paraId="76DD07D1" w14:textId="77777777" w:rsidTr="002174F4">
        <w:tc>
          <w:tcPr>
            <w:tcW w:w="915" w:type="pct"/>
          </w:tcPr>
          <w:p w14:paraId="07689C52" w14:textId="77777777" w:rsidR="002174F4" w:rsidRPr="0079322E" w:rsidRDefault="002174F4" w:rsidP="000131EB">
            <w:pPr>
              <w:spacing w:line="276" w:lineRule="auto"/>
              <w:rPr>
                <w:rFonts w:ascii="Avenir Next LT Pro Light" w:hAnsi="Avenir Next LT Pro Light"/>
                <w:i/>
                <w:iCs/>
              </w:rPr>
            </w:pPr>
            <w:r w:rsidRPr="0079322E">
              <w:rPr>
                <w:rFonts w:ascii="Avenir Next LT Pro Light" w:hAnsi="Avenir Next LT Pro Light"/>
                <w:i/>
                <w:iCs/>
              </w:rPr>
              <w:t>Publiek</w:t>
            </w:r>
          </w:p>
        </w:tc>
        <w:tc>
          <w:tcPr>
            <w:tcW w:w="2042" w:type="pct"/>
          </w:tcPr>
          <w:p w14:paraId="53419AF4" w14:textId="77777777" w:rsidR="002174F4" w:rsidRDefault="002174F4"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Personenauto’s</w:t>
            </w:r>
          </w:p>
          <w:p w14:paraId="16E26014" w14:textId="77777777" w:rsidR="002174F4" w:rsidRDefault="002174F4"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Taxi’s en doelgroepenvervoer</w:t>
            </w:r>
          </w:p>
          <w:p w14:paraId="058CA627" w14:textId="77777777" w:rsidR="002174F4" w:rsidRPr="002174F4" w:rsidRDefault="00CF2A7B"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B</w:t>
            </w:r>
            <w:r w:rsidR="0079322E">
              <w:rPr>
                <w:rFonts w:ascii="Avenir Next LT Pro Light" w:hAnsi="Avenir Next LT Pro Light"/>
              </w:rPr>
              <w:t>estelwagens</w:t>
            </w:r>
          </w:p>
        </w:tc>
        <w:tc>
          <w:tcPr>
            <w:tcW w:w="2043" w:type="pct"/>
          </w:tcPr>
          <w:p w14:paraId="7FCED332"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Personenauto’s</w:t>
            </w:r>
          </w:p>
          <w:p w14:paraId="3C892BBC"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Taxi’s en doelgroepenvervoer</w:t>
            </w:r>
          </w:p>
          <w:p w14:paraId="755FADD3" w14:textId="77777777" w:rsidR="002174F4"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L</w:t>
            </w:r>
            <w:r w:rsidR="00CF2A7B">
              <w:rPr>
                <w:rFonts w:ascii="Avenir Next LT Pro Light" w:hAnsi="Avenir Next LT Pro Light"/>
              </w:rPr>
              <w:t>ichte l</w:t>
            </w:r>
            <w:r>
              <w:rPr>
                <w:rFonts w:ascii="Avenir Next LT Pro Light" w:hAnsi="Avenir Next LT Pro Light"/>
              </w:rPr>
              <w:t>ogistiek</w:t>
            </w:r>
          </w:p>
          <w:p w14:paraId="729C7262" w14:textId="77777777" w:rsidR="00CF2A7B" w:rsidRPr="0079322E" w:rsidRDefault="00CF2A7B"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Zware logistiek (nihil)</w:t>
            </w:r>
          </w:p>
        </w:tc>
      </w:tr>
      <w:tr w:rsidR="002174F4" w14:paraId="1688CC95" w14:textId="77777777" w:rsidTr="002174F4">
        <w:tc>
          <w:tcPr>
            <w:tcW w:w="915" w:type="pct"/>
          </w:tcPr>
          <w:p w14:paraId="1881E4A0" w14:textId="77777777" w:rsidR="002174F4" w:rsidRPr="0079322E" w:rsidRDefault="002174F4" w:rsidP="000131EB">
            <w:pPr>
              <w:spacing w:line="276" w:lineRule="auto"/>
              <w:rPr>
                <w:rFonts w:ascii="Avenir Next LT Pro Light" w:hAnsi="Avenir Next LT Pro Light"/>
                <w:i/>
                <w:iCs/>
              </w:rPr>
            </w:pPr>
            <w:r w:rsidRPr="0079322E">
              <w:rPr>
                <w:rFonts w:ascii="Avenir Next LT Pro Light" w:hAnsi="Avenir Next LT Pro Light"/>
                <w:i/>
                <w:iCs/>
              </w:rPr>
              <w:t>Semi-</w:t>
            </w:r>
            <w:r w:rsidR="006545FF">
              <w:rPr>
                <w:rFonts w:ascii="Avenir Next LT Pro Light" w:hAnsi="Avenir Next LT Pro Light"/>
                <w:i/>
                <w:iCs/>
              </w:rPr>
              <w:t>publiek</w:t>
            </w:r>
          </w:p>
        </w:tc>
        <w:tc>
          <w:tcPr>
            <w:tcW w:w="2042" w:type="pct"/>
          </w:tcPr>
          <w:p w14:paraId="4A2C7FCD"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Personenauto’s</w:t>
            </w:r>
          </w:p>
          <w:p w14:paraId="282FC5B9"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Taxi’s en doelgroepenvervoer</w:t>
            </w:r>
          </w:p>
          <w:p w14:paraId="4BC11369" w14:textId="77777777" w:rsidR="002174F4" w:rsidRPr="0079322E" w:rsidRDefault="00CF2A7B"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B</w:t>
            </w:r>
            <w:r w:rsidR="0079322E" w:rsidRPr="0079322E">
              <w:rPr>
                <w:rFonts w:ascii="Avenir Next LT Pro Light" w:hAnsi="Avenir Next LT Pro Light"/>
              </w:rPr>
              <w:t>estelwagens</w:t>
            </w:r>
          </w:p>
        </w:tc>
        <w:tc>
          <w:tcPr>
            <w:tcW w:w="2043" w:type="pct"/>
          </w:tcPr>
          <w:p w14:paraId="49128EBE"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Personenauto’s</w:t>
            </w:r>
          </w:p>
          <w:p w14:paraId="67FAE291"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Taxi’s en doelgroepenvervoer</w:t>
            </w:r>
          </w:p>
          <w:p w14:paraId="1ED2C2D3" w14:textId="77777777" w:rsidR="0079322E" w:rsidRPr="0079322E" w:rsidRDefault="0079322E" w:rsidP="000131EB">
            <w:pPr>
              <w:pStyle w:val="Lijstalinea"/>
              <w:numPr>
                <w:ilvl w:val="0"/>
                <w:numId w:val="30"/>
              </w:numPr>
              <w:spacing w:line="276" w:lineRule="auto"/>
              <w:rPr>
                <w:rFonts w:ascii="Avenir Next LT Pro Light" w:hAnsi="Avenir Next LT Pro Light"/>
              </w:rPr>
            </w:pPr>
            <w:r w:rsidRPr="0079322E">
              <w:rPr>
                <w:rFonts w:ascii="Avenir Next LT Pro Light" w:hAnsi="Avenir Next LT Pro Light"/>
              </w:rPr>
              <w:t>Logistiek</w:t>
            </w:r>
          </w:p>
        </w:tc>
      </w:tr>
      <w:tr w:rsidR="002174F4" w14:paraId="14430CCB" w14:textId="77777777" w:rsidTr="002174F4">
        <w:tc>
          <w:tcPr>
            <w:tcW w:w="915" w:type="pct"/>
          </w:tcPr>
          <w:p w14:paraId="191D1EE3" w14:textId="77777777" w:rsidR="002174F4" w:rsidRPr="0079322E" w:rsidRDefault="002174F4" w:rsidP="000131EB">
            <w:pPr>
              <w:spacing w:line="276" w:lineRule="auto"/>
              <w:rPr>
                <w:rFonts w:ascii="Avenir Next LT Pro Light" w:hAnsi="Avenir Next LT Pro Light"/>
                <w:i/>
                <w:iCs/>
              </w:rPr>
            </w:pPr>
            <w:r w:rsidRPr="0079322E">
              <w:rPr>
                <w:rFonts w:ascii="Avenir Next LT Pro Light" w:hAnsi="Avenir Next LT Pro Light"/>
                <w:i/>
                <w:iCs/>
              </w:rPr>
              <w:t xml:space="preserve">Privaat </w:t>
            </w:r>
          </w:p>
        </w:tc>
        <w:tc>
          <w:tcPr>
            <w:tcW w:w="2042" w:type="pct"/>
          </w:tcPr>
          <w:p w14:paraId="0D36AB22"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Personenauto’s</w:t>
            </w:r>
          </w:p>
          <w:p w14:paraId="054FE177"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Taxi’s en doelgroepenvervoer</w:t>
            </w:r>
          </w:p>
          <w:p w14:paraId="648948DA" w14:textId="77777777" w:rsidR="002174F4" w:rsidRDefault="0079322E" w:rsidP="000131EB">
            <w:pPr>
              <w:pStyle w:val="Lijstalinea"/>
              <w:numPr>
                <w:ilvl w:val="0"/>
                <w:numId w:val="30"/>
              </w:numPr>
              <w:spacing w:line="276" w:lineRule="auto"/>
              <w:rPr>
                <w:rFonts w:ascii="Avenir Next LT Pro Light" w:hAnsi="Avenir Next LT Pro Light"/>
              </w:rPr>
            </w:pPr>
            <w:r w:rsidRPr="0079322E">
              <w:rPr>
                <w:rFonts w:ascii="Avenir Next LT Pro Light" w:hAnsi="Avenir Next LT Pro Light"/>
              </w:rPr>
              <w:t>Logistiek</w:t>
            </w:r>
          </w:p>
          <w:p w14:paraId="01BCBD00"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OV-bussen</w:t>
            </w:r>
          </w:p>
          <w:p w14:paraId="40AB4865" w14:textId="77777777" w:rsidR="0079322E" w:rsidRP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Touringcars</w:t>
            </w:r>
          </w:p>
        </w:tc>
        <w:tc>
          <w:tcPr>
            <w:tcW w:w="2043" w:type="pct"/>
          </w:tcPr>
          <w:p w14:paraId="060528A8"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Personenauto’s</w:t>
            </w:r>
          </w:p>
          <w:p w14:paraId="0EF576F9"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Taxi’s en doelgroepenvervoer</w:t>
            </w:r>
          </w:p>
          <w:p w14:paraId="79E1DBEF" w14:textId="77777777" w:rsidR="002174F4" w:rsidRDefault="0079322E" w:rsidP="000131EB">
            <w:pPr>
              <w:pStyle w:val="Lijstalinea"/>
              <w:numPr>
                <w:ilvl w:val="0"/>
                <w:numId w:val="30"/>
              </w:numPr>
              <w:spacing w:line="276" w:lineRule="auto"/>
              <w:rPr>
                <w:rFonts w:ascii="Avenir Next LT Pro Light" w:hAnsi="Avenir Next LT Pro Light"/>
              </w:rPr>
            </w:pPr>
            <w:r w:rsidRPr="0079322E">
              <w:rPr>
                <w:rFonts w:ascii="Avenir Next LT Pro Light" w:hAnsi="Avenir Next LT Pro Light"/>
              </w:rPr>
              <w:t>Logistiek</w:t>
            </w:r>
          </w:p>
          <w:p w14:paraId="68BF69D7" w14:textId="77777777" w:rsid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OV-bussen</w:t>
            </w:r>
          </w:p>
          <w:p w14:paraId="124C4D6D" w14:textId="77777777" w:rsidR="0079322E" w:rsidRPr="0079322E" w:rsidRDefault="0079322E" w:rsidP="000131EB">
            <w:pPr>
              <w:pStyle w:val="Lijstalinea"/>
              <w:numPr>
                <w:ilvl w:val="0"/>
                <w:numId w:val="30"/>
              </w:numPr>
              <w:spacing w:line="276" w:lineRule="auto"/>
              <w:rPr>
                <w:rFonts w:ascii="Avenir Next LT Pro Light" w:hAnsi="Avenir Next LT Pro Light"/>
              </w:rPr>
            </w:pPr>
            <w:r>
              <w:rPr>
                <w:rFonts w:ascii="Avenir Next LT Pro Light" w:hAnsi="Avenir Next LT Pro Light"/>
              </w:rPr>
              <w:t xml:space="preserve">Touringcars </w:t>
            </w:r>
          </w:p>
        </w:tc>
      </w:tr>
    </w:tbl>
    <w:p w14:paraId="6B4E7214" w14:textId="77777777" w:rsidR="00A84E1C" w:rsidRDefault="00A84E1C" w:rsidP="000131EB">
      <w:pPr>
        <w:spacing w:after="0" w:line="276" w:lineRule="auto"/>
        <w:rPr>
          <w:rFonts w:ascii="Avenir Next LT Pro Light" w:hAnsi="Avenir Next LT Pro Light"/>
        </w:rPr>
      </w:pPr>
    </w:p>
    <w:p w14:paraId="3B7B5B28" w14:textId="0E183D6E" w:rsidR="009A455B" w:rsidRPr="00664895" w:rsidRDefault="009A455B" w:rsidP="000131EB">
      <w:pPr>
        <w:spacing w:after="0" w:line="276" w:lineRule="auto"/>
        <w:rPr>
          <w:rFonts w:ascii="Avenir Next LT Pro Light" w:hAnsi="Avenir Next LT Pro Light"/>
        </w:rPr>
      </w:pPr>
      <w:r>
        <w:rPr>
          <w:rFonts w:ascii="Avenir Next LT Pro Light" w:hAnsi="Avenir Next LT Pro Light"/>
        </w:rPr>
        <w:t xml:space="preserve">Bovenstaande tabel is een eerste stap in het in kaart brengen van laadprofielen. MRA-E wil per </w:t>
      </w:r>
      <w:r w:rsidR="00D22914">
        <w:rPr>
          <w:rFonts w:ascii="Avenir Next LT Pro Light" w:hAnsi="Avenir Next LT Pro Light"/>
        </w:rPr>
        <w:t>gebruikersgroep</w:t>
      </w:r>
      <w:r>
        <w:rPr>
          <w:rFonts w:ascii="Avenir Next LT Pro Light" w:hAnsi="Avenir Next LT Pro Light"/>
        </w:rPr>
        <w:t xml:space="preserve"> in kaart gaan brengen wat het laadprofiel is om zodoende de juiste en voldoende laadinfrastructuur te kunnen realiseren. </w:t>
      </w:r>
    </w:p>
    <w:p w14:paraId="0664EAF8" w14:textId="2176D057" w:rsidR="008C60E2" w:rsidRPr="000859B3" w:rsidRDefault="008C60E2" w:rsidP="000131EB">
      <w:pPr>
        <w:pStyle w:val="Kop2"/>
        <w:spacing w:line="276" w:lineRule="auto"/>
      </w:pPr>
      <w:bookmarkStart w:id="13" w:name="_Toc71287699"/>
      <w:r w:rsidRPr="000859B3">
        <w:t>Publiek</w:t>
      </w:r>
      <w:r w:rsidR="00300610">
        <w:t xml:space="preserve"> </w:t>
      </w:r>
      <w:r w:rsidRPr="000859B3">
        <w:t>la</w:t>
      </w:r>
      <w:r w:rsidR="00FC05BF" w:rsidRPr="000859B3">
        <w:t>den</w:t>
      </w:r>
      <w:bookmarkEnd w:id="13"/>
    </w:p>
    <w:p w14:paraId="5F495DCF" w14:textId="673F2A10" w:rsidR="006C00F6" w:rsidRDefault="008C60E2" w:rsidP="000131EB">
      <w:pPr>
        <w:spacing w:after="0" w:line="276" w:lineRule="auto"/>
        <w:rPr>
          <w:rFonts w:ascii="Avenir Next LT Pro Light" w:hAnsi="Avenir Next LT Pro Light"/>
        </w:rPr>
      </w:pPr>
      <w:r w:rsidRPr="00A83964">
        <w:rPr>
          <w:rFonts w:ascii="Avenir Next LT Pro Light" w:hAnsi="Avenir Next LT Pro Light"/>
        </w:rPr>
        <w:t xml:space="preserve">Op dit moment zijn er </w:t>
      </w:r>
      <w:r w:rsidR="00C705BC">
        <w:rPr>
          <w:rFonts w:ascii="Avenir Next LT Pro Light" w:hAnsi="Avenir Next LT Pro Light"/>
        </w:rPr>
        <w:t>ruim</w:t>
      </w:r>
      <w:r w:rsidR="00D87A08">
        <w:rPr>
          <w:rFonts w:ascii="Avenir Next LT Pro Light" w:hAnsi="Avenir Next LT Pro Light"/>
        </w:rPr>
        <w:t xml:space="preserve"> 9.000 publieke laadpunten</w:t>
      </w:r>
      <w:r w:rsidR="00C705BC">
        <w:rPr>
          <w:rStyle w:val="Voetnootmarkering"/>
          <w:rFonts w:ascii="Avenir Next LT Pro Light" w:hAnsi="Avenir Next LT Pro Light"/>
        </w:rPr>
        <w:footnoteReference w:id="8"/>
      </w:r>
      <w:r w:rsidRPr="00A83964">
        <w:rPr>
          <w:rFonts w:ascii="Avenir Next LT Pro Light" w:hAnsi="Avenir Next LT Pro Light"/>
        </w:rPr>
        <w:t xml:space="preserve"> in de provincies Noord-Holland, Flevoland en Utrecht gerealiseerd.</w:t>
      </w:r>
      <w:r w:rsidR="00F1193C" w:rsidRPr="00A83964">
        <w:rPr>
          <w:rFonts w:ascii="Avenir Next LT Pro Light" w:hAnsi="Avenir Next LT Pro Light"/>
        </w:rPr>
        <w:t xml:space="preserve"> </w:t>
      </w:r>
      <w:r w:rsidR="00B40E58" w:rsidRPr="00A83964">
        <w:rPr>
          <w:rFonts w:ascii="Avenir Next LT Pro Light" w:hAnsi="Avenir Next LT Pro Light"/>
        </w:rPr>
        <w:t>Voor de publieke laadinfrastructuur in de regio</w:t>
      </w:r>
      <w:r w:rsidR="0096231C">
        <w:rPr>
          <w:rFonts w:ascii="Avenir Next LT Pro Light" w:hAnsi="Avenir Next LT Pro Light"/>
        </w:rPr>
        <w:t xml:space="preserve"> Noordwest die door</w:t>
      </w:r>
      <w:r w:rsidR="00B40E58" w:rsidRPr="00A83964">
        <w:rPr>
          <w:rFonts w:ascii="Avenir Next LT Pro Light" w:hAnsi="Avenir Next LT Pro Light"/>
        </w:rPr>
        <w:t xml:space="preserve"> MRA-E </w:t>
      </w:r>
      <w:r w:rsidR="00F1193C" w:rsidRPr="00A83964">
        <w:rPr>
          <w:rFonts w:ascii="Avenir Next LT Pro Light" w:hAnsi="Avenir Next LT Pro Light"/>
        </w:rPr>
        <w:t>word</w:t>
      </w:r>
      <w:r w:rsidR="0096231C">
        <w:rPr>
          <w:rFonts w:ascii="Avenir Next LT Pro Light" w:hAnsi="Avenir Next LT Pro Light"/>
        </w:rPr>
        <w:t>t gefaciliteerd, word</w:t>
      </w:r>
      <w:r w:rsidR="006C00F6">
        <w:rPr>
          <w:rFonts w:ascii="Avenir Next LT Pro Light" w:hAnsi="Avenir Next LT Pro Light"/>
        </w:rPr>
        <w:t>en de volgende</w:t>
      </w:r>
      <w:r w:rsidR="00F1193C" w:rsidRPr="00A83964">
        <w:rPr>
          <w:rFonts w:ascii="Avenir Next LT Pro Light" w:hAnsi="Avenir Next LT Pro Light"/>
        </w:rPr>
        <w:t xml:space="preserve"> uitgangspunten gehanteerd. </w:t>
      </w:r>
    </w:p>
    <w:p w14:paraId="6FF5400F" w14:textId="77777777" w:rsidR="006C00F6" w:rsidRPr="00A83964" w:rsidRDefault="006C00F6" w:rsidP="000131EB">
      <w:pPr>
        <w:spacing w:after="0" w:line="276" w:lineRule="auto"/>
        <w:rPr>
          <w:rFonts w:ascii="Avenir Next LT Pro Light" w:hAnsi="Avenir Next LT Pro Light"/>
        </w:rPr>
      </w:pPr>
    </w:p>
    <w:p w14:paraId="7B865783" w14:textId="77777777" w:rsidR="006C00F6" w:rsidRPr="006C00F6" w:rsidRDefault="006C00F6" w:rsidP="000131EB">
      <w:pPr>
        <w:pStyle w:val="Lijstalinea"/>
        <w:numPr>
          <w:ilvl w:val="0"/>
          <w:numId w:val="42"/>
        </w:numPr>
        <w:spacing w:line="276" w:lineRule="auto"/>
        <w:rPr>
          <w:rFonts w:ascii="Avenir Next LT Pro Light" w:hAnsi="Avenir Next LT Pro Light"/>
        </w:rPr>
      </w:pPr>
      <w:r w:rsidRPr="006C00F6">
        <w:rPr>
          <w:rFonts w:ascii="Avenir Next LT Pro Light" w:hAnsi="Avenir Next LT Pro Light"/>
        </w:rPr>
        <w:t>Gezamenlijk opdracht uitzetten voor de uitvoering</w:t>
      </w:r>
    </w:p>
    <w:p w14:paraId="5B27701F" w14:textId="63CD181E" w:rsidR="006C00F6" w:rsidRPr="006C00F6" w:rsidRDefault="0049430E" w:rsidP="000131EB">
      <w:pPr>
        <w:pStyle w:val="Lijstalinea"/>
        <w:numPr>
          <w:ilvl w:val="0"/>
          <w:numId w:val="42"/>
        </w:numPr>
        <w:spacing w:line="276" w:lineRule="auto"/>
        <w:rPr>
          <w:rFonts w:ascii="Avenir Next LT Pro Light" w:hAnsi="Avenir Next LT Pro Light"/>
        </w:rPr>
      </w:pPr>
      <w:r>
        <w:rPr>
          <w:rFonts w:ascii="Avenir Next LT Pro Light" w:hAnsi="Avenir Next LT Pro Light"/>
        </w:rPr>
        <w:t xml:space="preserve">De </w:t>
      </w:r>
      <w:r w:rsidR="006C00F6" w:rsidRPr="006C00F6">
        <w:rPr>
          <w:rFonts w:ascii="Avenir Next LT Pro Light" w:hAnsi="Avenir Next LT Pro Light"/>
        </w:rPr>
        <w:t xml:space="preserve">Ladder van </w:t>
      </w:r>
      <w:r>
        <w:rPr>
          <w:rFonts w:ascii="Avenir Next LT Pro Light" w:hAnsi="Avenir Next LT Pro Light"/>
        </w:rPr>
        <w:t>Plaatsen</w:t>
      </w:r>
      <w:r w:rsidR="006C00F6" w:rsidRPr="006C00F6">
        <w:rPr>
          <w:rFonts w:ascii="Avenir Next LT Pro Light" w:hAnsi="Avenir Next LT Pro Light"/>
        </w:rPr>
        <w:t xml:space="preserve">  </w:t>
      </w:r>
    </w:p>
    <w:p w14:paraId="7E7359C0" w14:textId="7C40F11F" w:rsidR="006C00F6" w:rsidRPr="00D87A08" w:rsidRDefault="006C00F6" w:rsidP="000131EB">
      <w:pPr>
        <w:pStyle w:val="Lijstalinea"/>
        <w:numPr>
          <w:ilvl w:val="0"/>
          <w:numId w:val="42"/>
        </w:numPr>
        <w:spacing w:line="276" w:lineRule="auto"/>
        <w:rPr>
          <w:rStyle w:val="Verwijzingopmerking"/>
          <w:rFonts w:ascii="Avenir Next LT Pro Light" w:hAnsi="Avenir Next LT Pro Light"/>
          <w:sz w:val="20"/>
          <w:szCs w:val="22"/>
        </w:rPr>
      </w:pPr>
      <w:r w:rsidRPr="006C00F6">
        <w:rPr>
          <w:rFonts w:ascii="Avenir Next LT Pro Light" w:hAnsi="Avenir Next LT Pro Light"/>
        </w:rPr>
        <w:t>Gebruik van laadkaarten</w:t>
      </w:r>
    </w:p>
    <w:p w14:paraId="626F3C21" w14:textId="77777777" w:rsidR="00D87A08" w:rsidRPr="00D87A08" w:rsidRDefault="00D87A08" w:rsidP="000131EB">
      <w:pPr>
        <w:pStyle w:val="Lijstalinea"/>
        <w:spacing w:line="276" w:lineRule="auto"/>
        <w:rPr>
          <w:rFonts w:ascii="Avenir Next LT Pro Light" w:hAnsi="Avenir Next LT Pro Light"/>
        </w:rPr>
      </w:pPr>
    </w:p>
    <w:p w14:paraId="6896F2F9" w14:textId="708114DE" w:rsidR="008C60E2" w:rsidRDefault="0096231C" w:rsidP="000131EB">
      <w:pPr>
        <w:spacing w:after="0" w:line="276" w:lineRule="auto"/>
        <w:rPr>
          <w:rFonts w:ascii="Avenir Next LT Pro Light" w:hAnsi="Avenir Next LT Pro Light"/>
        </w:rPr>
      </w:pPr>
      <w:r>
        <w:rPr>
          <w:rFonts w:ascii="Avenir Next LT Pro Light" w:hAnsi="Avenir Next LT Pro Light"/>
        </w:rPr>
        <w:t>Met deze uitgangspunten wil MRA-</w:t>
      </w:r>
      <w:r w:rsidR="00D22914">
        <w:rPr>
          <w:rFonts w:ascii="Avenir Next LT Pro Light" w:hAnsi="Avenir Next LT Pro Light"/>
        </w:rPr>
        <w:t>E</w:t>
      </w:r>
      <w:r>
        <w:rPr>
          <w:rFonts w:ascii="Avenir Next LT Pro Light" w:hAnsi="Avenir Next LT Pro Light"/>
        </w:rPr>
        <w:t xml:space="preserve"> bijdragen aan een voldoende dekkende</w:t>
      </w:r>
      <w:r w:rsidR="00D809AC">
        <w:rPr>
          <w:rFonts w:ascii="Avenir Next LT Pro Light" w:hAnsi="Avenir Next LT Pro Light"/>
        </w:rPr>
        <w:t>, veilige, betrouwbare, toegankelijke en betaalbare</w:t>
      </w:r>
      <w:r>
        <w:rPr>
          <w:rFonts w:ascii="Avenir Next LT Pro Light" w:hAnsi="Avenir Next LT Pro Light"/>
        </w:rPr>
        <w:t xml:space="preserve"> </w:t>
      </w:r>
      <w:r w:rsidR="00D809AC">
        <w:rPr>
          <w:rFonts w:ascii="Avenir Next LT Pro Light" w:hAnsi="Avenir Next LT Pro Light"/>
        </w:rPr>
        <w:t>laad</w:t>
      </w:r>
      <w:r>
        <w:rPr>
          <w:rFonts w:ascii="Avenir Next LT Pro Light" w:hAnsi="Avenir Next LT Pro Light"/>
        </w:rPr>
        <w:t>infrastructuur</w:t>
      </w:r>
      <w:r w:rsidR="00D809AC">
        <w:rPr>
          <w:rFonts w:ascii="Avenir Next LT Pro Light" w:hAnsi="Avenir Next LT Pro Light"/>
        </w:rPr>
        <w:t xml:space="preserve">. </w:t>
      </w:r>
      <w:r w:rsidR="007335E3">
        <w:rPr>
          <w:rFonts w:ascii="Avenir Next LT Pro Light" w:hAnsi="Avenir Next LT Pro Light"/>
        </w:rPr>
        <w:t>Dit</w:t>
      </w:r>
      <w:r w:rsidR="007335E3" w:rsidRPr="007335E3">
        <w:rPr>
          <w:rFonts w:ascii="Avenir Next LT Pro Light" w:hAnsi="Avenir Next LT Pro Light"/>
        </w:rPr>
        <w:t xml:space="preserve"> moet ertoe leiden dat steeds minder diesel-, en benzinevoertuigen worden gebruikt en ter vervanging elektrisch wordt gereden. Om van elektrisch rijden een succes te maken, moet de elektrische auto hetzelfde comfort bieden als fossiele brandstofauto’s en daarnaast vooral financieel aantrekkelijk zijn. Dit is een van de lessen die de </w:t>
      </w:r>
      <w:r w:rsidR="007335E3" w:rsidRPr="007335E3">
        <w:rPr>
          <w:rFonts w:ascii="Avenir Next LT Pro Light" w:hAnsi="Avenir Next LT Pro Light"/>
        </w:rPr>
        <w:lastRenderedPageBreak/>
        <w:t>afgelopen jaren zijn opgedaan bij MRA-E.</w:t>
      </w:r>
      <w:r w:rsidR="007335E3">
        <w:rPr>
          <w:rFonts w:ascii="Avenir Next LT Pro Light" w:hAnsi="Avenir Next LT Pro Light"/>
        </w:rPr>
        <w:t xml:space="preserve"> </w:t>
      </w:r>
      <w:r w:rsidR="00D809AC">
        <w:rPr>
          <w:rFonts w:ascii="Avenir Next LT Pro Light" w:hAnsi="Avenir Next LT Pro Light"/>
        </w:rPr>
        <w:t xml:space="preserve">Daarnaast dragen de uitgangspunten bij </w:t>
      </w:r>
      <w:r w:rsidR="00D22914">
        <w:rPr>
          <w:rFonts w:ascii="Avenir Next LT Pro Light" w:hAnsi="Avenir Next LT Pro Light"/>
        </w:rPr>
        <w:t>aan</w:t>
      </w:r>
      <w:r w:rsidR="00D809AC">
        <w:rPr>
          <w:rFonts w:ascii="Avenir Next LT Pro Light" w:hAnsi="Avenir Next LT Pro Light"/>
        </w:rPr>
        <w:t xml:space="preserve"> </w:t>
      </w:r>
      <w:r w:rsidR="0099478E">
        <w:rPr>
          <w:rFonts w:ascii="Avenir Next LT Pro Light" w:hAnsi="Avenir Next LT Pro Light"/>
        </w:rPr>
        <w:t>het versnellen van de</w:t>
      </w:r>
      <w:r>
        <w:rPr>
          <w:rFonts w:ascii="Avenir Next LT Pro Light" w:hAnsi="Avenir Next LT Pro Light"/>
        </w:rPr>
        <w:t xml:space="preserve"> huidige plaatsing</w:t>
      </w:r>
      <w:r w:rsidR="008F1B43">
        <w:rPr>
          <w:rFonts w:ascii="Avenir Next LT Pro Light" w:hAnsi="Avenir Next LT Pro Light"/>
        </w:rPr>
        <w:t>s</w:t>
      </w:r>
      <w:r>
        <w:rPr>
          <w:rFonts w:ascii="Avenir Next LT Pro Light" w:hAnsi="Avenir Next LT Pro Light"/>
        </w:rPr>
        <w:t>- en realisatieprocessen</w:t>
      </w:r>
      <w:r w:rsidR="00D809AC">
        <w:rPr>
          <w:rFonts w:ascii="Avenir Next LT Pro Light" w:hAnsi="Avenir Next LT Pro Light"/>
        </w:rPr>
        <w:t xml:space="preserve"> en </w:t>
      </w:r>
      <w:r>
        <w:rPr>
          <w:rFonts w:ascii="Avenir Next LT Pro Light" w:hAnsi="Avenir Next LT Pro Light"/>
        </w:rPr>
        <w:t>flexibiliteit in tijden van onzekerheid</w:t>
      </w:r>
      <w:r w:rsidR="00D809AC">
        <w:rPr>
          <w:rFonts w:ascii="Avenir Next LT Pro Light" w:hAnsi="Avenir Next LT Pro Light"/>
        </w:rPr>
        <w:t xml:space="preserve">. </w:t>
      </w:r>
      <w:r w:rsidR="0099478E">
        <w:rPr>
          <w:rFonts w:ascii="Avenir Next LT Pro Light" w:hAnsi="Avenir Next LT Pro Light"/>
        </w:rPr>
        <w:t xml:space="preserve">Deze uitgangspunten en bijbehorende afwegingen worden in onderstaande paragrafen toegelicht. </w:t>
      </w:r>
    </w:p>
    <w:p w14:paraId="01F43438" w14:textId="77777777" w:rsidR="000859B3" w:rsidRPr="00A83964" w:rsidRDefault="000859B3" w:rsidP="000131EB">
      <w:pPr>
        <w:spacing w:after="0" w:line="276" w:lineRule="auto"/>
        <w:rPr>
          <w:rFonts w:ascii="Avenir Next LT Pro Light" w:hAnsi="Avenir Next LT Pro Light"/>
        </w:rPr>
      </w:pPr>
    </w:p>
    <w:p w14:paraId="10840231" w14:textId="5BC5D4F5" w:rsidR="008C60E2" w:rsidRDefault="00357799" w:rsidP="000131EB">
      <w:pPr>
        <w:spacing w:after="0" w:line="276" w:lineRule="auto"/>
        <w:rPr>
          <w:rFonts w:ascii="Avenir Next LT Pro Light" w:hAnsi="Avenir Next LT Pro Light"/>
        </w:rPr>
      </w:pPr>
      <w:r>
        <w:rPr>
          <w:rFonts w:ascii="Avenir Next LT Pro Light" w:hAnsi="Avenir Next LT Pro Light"/>
          <w:b/>
          <w:bCs/>
        </w:rPr>
        <w:t>Gezamenlijk opdracht</w:t>
      </w:r>
      <w:r w:rsidR="00F1193C" w:rsidRPr="00A83964">
        <w:rPr>
          <w:rFonts w:ascii="Avenir Next LT Pro Light" w:hAnsi="Avenir Next LT Pro Light"/>
          <w:b/>
          <w:bCs/>
        </w:rPr>
        <w:t xml:space="preserve"> </w:t>
      </w:r>
      <w:r w:rsidR="00372318">
        <w:rPr>
          <w:rFonts w:ascii="Avenir Next LT Pro Light" w:hAnsi="Avenir Next LT Pro Light"/>
          <w:b/>
          <w:bCs/>
        </w:rPr>
        <w:t xml:space="preserve">uitzetten </w:t>
      </w:r>
      <w:r w:rsidR="00F1193C" w:rsidRPr="00A83964">
        <w:rPr>
          <w:rFonts w:ascii="Avenir Next LT Pro Light" w:hAnsi="Avenir Next LT Pro Light"/>
          <w:b/>
          <w:bCs/>
        </w:rPr>
        <w:t xml:space="preserve">voor de uitvoering </w:t>
      </w:r>
      <w:r w:rsidR="00F1193C" w:rsidRPr="00A83964">
        <w:rPr>
          <w:rFonts w:ascii="Avenir Next LT Pro Light" w:hAnsi="Avenir Next LT Pro Light"/>
        </w:rPr>
        <w:t xml:space="preserve"> </w:t>
      </w:r>
      <w:r w:rsidR="008C60E2" w:rsidRPr="00A83964">
        <w:rPr>
          <w:rFonts w:ascii="Avenir Next LT Pro Light" w:hAnsi="Avenir Next LT Pro Light"/>
        </w:rPr>
        <w:br/>
        <w:t>MRA-E werkt volgens het concessiemodel en zet de aanbestedingen uit voor</w:t>
      </w:r>
      <w:r w:rsidR="00BC54C8">
        <w:rPr>
          <w:rFonts w:ascii="Avenir Next LT Pro Light" w:hAnsi="Avenir Next LT Pro Light"/>
        </w:rPr>
        <w:t xml:space="preserve"> alle gemee</w:t>
      </w:r>
      <w:r w:rsidR="002D4F2D">
        <w:rPr>
          <w:rFonts w:ascii="Avenir Next LT Pro Light" w:hAnsi="Avenir Next LT Pro Light"/>
        </w:rPr>
        <w:t xml:space="preserve">nten binnen de drie provincies. </w:t>
      </w:r>
      <w:r w:rsidR="00BC54C8">
        <w:rPr>
          <w:rFonts w:ascii="Avenir Next LT Pro Light" w:hAnsi="Avenir Next LT Pro Light"/>
        </w:rPr>
        <w:t>Gemeenten bepalen zelf of zij gebruik willen maken van deze dienst. Op dit moment zijn</w:t>
      </w:r>
      <w:r w:rsidR="008C60E2" w:rsidRPr="00A83964">
        <w:rPr>
          <w:rFonts w:ascii="Avenir Next LT Pro Light" w:hAnsi="Avenir Next LT Pro Light"/>
        </w:rPr>
        <w:t xml:space="preserve"> </w:t>
      </w:r>
      <w:r w:rsidR="00BC54C8">
        <w:rPr>
          <w:rFonts w:ascii="Avenir Next LT Pro Light" w:hAnsi="Avenir Next LT Pro Light"/>
        </w:rPr>
        <w:t>de meeste</w:t>
      </w:r>
      <w:r w:rsidR="008C60E2" w:rsidRPr="00A83964">
        <w:rPr>
          <w:rFonts w:ascii="Avenir Next LT Pro Light" w:hAnsi="Avenir Next LT Pro Light"/>
        </w:rPr>
        <w:t xml:space="preserve"> gemeenten</w:t>
      </w:r>
      <w:r w:rsidR="00BC54C8">
        <w:rPr>
          <w:rFonts w:ascii="Avenir Next LT Pro Light" w:hAnsi="Avenir Next LT Pro Light"/>
        </w:rPr>
        <w:t xml:space="preserve"> </w:t>
      </w:r>
      <w:r w:rsidR="002D4F2D">
        <w:rPr>
          <w:rFonts w:ascii="Avenir Next LT Pro Light" w:hAnsi="Avenir Next LT Pro Light"/>
        </w:rPr>
        <w:t xml:space="preserve">uit de regio Noordwest </w:t>
      </w:r>
      <w:r w:rsidR="00BC54C8">
        <w:rPr>
          <w:rFonts w:ascii="Avenir Next LT Pro Light" w:hAnsi="Avenir Next LT Pro Light"/>
        </w:rPr>
        <w:t>aangesloten bij de concessie voor publieke laadpalen</w:t>
      </w:r>
      <w:r w:rsidR="008C60E2" w:rsidRPr="00A83964">
        <w:rPr>
          <w:rFonts w:ascii="Avenir Next LT Pro Light" w:hAnsi="Avenir Next LT Pro Light"/>
        </w:rPr>
        <w:t xml:space="preserve">. Dit zorgt voor kritische massa en maakt het voor marktpartijen interessant om op de aanbesteding in te schrijven. Daarnaast zorgt de gestandaardiseerde aanpak voor besparing van tijd en kosten bij concessiehouders tijdens </w:t>
      </w:r>
      <w:r w:rsidR="0070774E">
        <w:rPr>
          <w:rFonts w:ascii="Avenir Next LT Pro Light" w:hAnsi="Avenir Next LT Pro Light"/>
        </w:rPr>
        <w:t xml:space="preserve">het </w:t>
      </w:r>
      <w:r w:rsidR="008C60E2" w:rsidRPr="00A83964">
        <w:rPr>
          <w:rFonts w:ascii="Avenir Next LT Pro Light" w:hAnsi="Avenir Next LT Pro Light"/>
        </w:rPr>
        <w:t xml:space="preserve">proces van aanvraag tot plaatsing. Zowel de omvang als de aanpak van de aanbesteding en de uitrol zorgen voor kostenefficiëntie en maken </w:t>
      </w:r>
      <w:r w:rsidR="0087287B">
        <w:rPr>
          <w:rFonts w:ascii="Avenir Next LT Pro Light" w:hAnsi="Avenir Next LT Pro Light"/>
        </w:rPr>
        <w:t>aanbestedingen</w:t>
      </w:r>
      <w:r w:rsidR="008C60E2" w:rsidRPr="00A83964">
        <w:rPr>
          <w:rFonts w:ascii="Avenir Next LT Pro Light" w:hAnsi="Avenir Next LT Pro Light"/>
        </w:rPr>
        <w:t xml:space="preserve"> aantrekkelijk voor marktpartijen. Op</w:t>
      </w:r>
      <w:r w:rsidR="0087287B">
        <w:rPr>
          <w:rFonts w:ascii="Avenir Next LT Pro Light" w:hAnsi="Avenir Next LT Pro Light"/>
        </w:rPr>
        <w:t xml:space="preserve"> </w:t>
      </w:r>
      <w:r w:rsidR="008C60E2" w:rsidRPr="00A83964">
        <w:rPr>
          <w:rFonts w:ascii="Avenir Next LT Pro Light" w:hAnsi="Avenir Next LT Pro Light"/>
        </w:rPr>
        <w:t>aanbesteding</w:t>
      </w:r>
      <w:r w:rsidR="0087287B">
        <w:rPr>
          <w:rFonts w:ascii="Avenir Next LT Pro Light" w:hAnsi="Avenir Next LT Pro Light"/>
        </w:rPr>
        <w:t>en</w:t>
      </w:r>
      <w:r w:rsidR="008C60E2" w:rsidRPr="00A83964">
        <w:rPr>
          <w:rFonts w:ascii="Avenir Next LT Pro Light" w:hAnsi="Avenir Next LT Pro Light"/>
        </w:rPr>
        <w:t xml:space="preserve"> kunnen alle marktpartijen inschrijven, waardoor een vrije markt met voldoende aanbieders kan ontstaan.</w:t>
      </w:r>
      <w:r>
        <w:rPr>
          <w:rFonts w:ascii="Avenir Next LT Pro Light" w:hAnsi="Avenir Next LT Pro Light"/>
        </w:rPr>
        <w:t xml:space="preserve"> Uit onderzoek van TNO</w:t>
      </w:r>
      <w:r w:rsidR="00372318">
        <w:rPr>
          <w:rStyle w:val="Voetnootmarkering"/>
          <w:rFonts w:ascii="Avenir Next LT Pro Light" w:hAnsi="Avenir Next LT Pro Light"/>
        </w:rPr>
        <w:footnoteReference w:id="9"/>
      </w:r>
      <w:r>
        <w:rPr>
          <w:rFonts w:ascii="Avenir Next LT Pro Light" w:hAnsi="Avenir Next LT Pro Light"/>
        </w:rPr>
        <w:t xml:space="preserve"> blijkt dat ook de markt het aanbesteden</w:t>
      </w:r>
      <w:r w:rsidR="00372318">
        <w:rPr>
          <w:rFonts w:ascii="Avenir Next LT Pro Light" w:hAnsi="Avenir Next LT Pro Light"/>
        </w:rPr>
        <w:t xml:space="preserve"> op dit moment een goed instrument vindt. </w:t>
      </w:r>
      <w:r w:rsidR="0070774E">
        <w:rPr>
          <w:rFonts w:ascii="Avenir Next LT Pro Light" w:hAnsi="Avenir Next LT Pro Light"/>
        </w:rPr>
        <w:br/>
      </w:r>
      <w:r w:rsidR="0070774E">
        <w:rPr>
          <w:rFonts w:ascii="Avenir Next LT Pro Light" w:hAnsi="Avenir Next LT Pro Light"/>
        </w:rPr>
        <w:br/>
      </w:r>
      <w:r w:rsidR="0070774E" w:rsidRPr="0070774E">
        <w:rPr>
          <w:rFonts w:ascii="Avenir Next LT Pro Light" w:hAnsi="Avenir Next LT Pro Light"/>
        </w:rPr>
        <w:t>De laadpunten staan in de openbare ruimte en hier is net zoals bij andere objecten in de openbare ruimte de gemeente de eigenaar. Door eigendom is de gemeente blijvend in staat om op basis van maatschappelijke belangen een keuze over de inrichting van de openbare ruimte te maken.</w:t>
      </w:r>
      <w:r w:rsidR="008C60E2" w:rsidRPr="00A83964">
        <w:rPr>
          <w:rFonts w:ascii="Avenir Next LT Pro Light" w:hAnsi="Avenir Next LT Pro Light"/>
        </w:rPr>
        <w:br/>
      </w:r>
      <w:r w:rsidR="008C60E2" w:rsidRPr="00A83964">
        <w:rPr>
          <w:rFonts w:ascii="Avenir Next LT Pro Light" w:hAnsi="Avenir Next LT Pro Light"/>
        </w:rPr>
        <w:br/>
        <w:t>Voor het stimuleren van elektrisch vervoer zijn meerdere aspecten van belang: aantrekkelijke laadtarieven, een dekkend laadnetwerk, goede kwaliteit van laadinfrastructuur, betrouwbare dienstverlening (o.a. prijstransparantie), optimale marktwerking en het implementeren van innovaties. Deze aspecten kunnen meegenomen worden in de aanbesteding bij het concessiemodel, maar zijn moeilijker te eisen en te beheren in het vergunningenmodel. MRA-E neemt eisen op over deze aspecten in de concessies voor laadinfrastructuur in de regio en ziet er op toe in het contractbeheer. Daarnaast kunnen</w:t>
      </w:r>
      <w:r w:rsidR="0074097A">
        <w:rPr>
          <w:rFonts w:ascii="Avenir Next LT Pro Light" w:hAnsi="Avenir Next LT Pro Light"/>
        </w:rPr>
        <w:t xml:space="preserve">, </w:t>
      </w:r>
      <w:r w:rsidR="0074097A" w:rsidRPr="0074097A">
        <w:rPr>
          <w:rFonts w:ascii="Avenir Next LT Pro Light" w:hAnsi="Avenir Next LT Pro Light"/>
        </w:rPr>
        <w:t>rekening houdend met de geldende wet- en regelgeving,</w:t>
      </w:r>
      <w:r w:rsidR="008C60E2" w:rsidRPr="00A83964">
        <w:rPr>
          <w:rFonts w:ascii="Avenir Next LT Pro Light" w:hAnsi="Avenir Next LT Pro Light"/>
        </w:rPr>
        <w:t xml:space="preserve"> in het concessiemodel eisen worden meegenomen voor een maximum laadtarief die de</w:t>
      </w:r>
      <w:r w:rsidR="003D31DB">
        <w:rPr>
          <w:rFonts w:ascii="Avenir Next LT Pro Light" w:hAnsi="Avenir Next LT Pro Light"/>
        </w:rPr>
        <w:t xml:space="preserve"> </w:t>
      </w:r>
      <w:r w:rsidR="0074097A">
        <w:rPr>
          <w:rFonts w:ascii="Avenir Next LT Pro Light" w:hAnsi="Avenir Next LT Pro Light"/>
          <w:i/>
          <w:iCs/>
        </w:rPr>
        <w:t>C</w:t>
      </w:r>
      <w:r w:rsidR="003D31DB" w:rsidRPr="00594BFA">
        <w:rPr>
          <w:rFonts w:ascii="Avenir Next LT Pro Light" w:hAnsi="Avenir Next LT Pro Light"/>
          <w:i/>
          <w:iCs/>
        </w:rPr>
        <w:t xml:space="preserve">harge </w:t>
      </w:r>
      <w:r w:rsidR="0074097A">
        <w:rPr>
          <w:rFonts w:ascii="Avenir Next LT Pro Light" w:hAnsi="Avenir Next LT Pro Light"/>
          <w:i/>
          <w:iCs/>
        </w:rPr>
        <w:t>P</w:t>
      </w:r>
      <w:r w:rsidR="003D31DB" w:rsidRPr="00594BFA">
        <w:rPr>
          <w:rFonts w:ascii="Avenir Next LT Pro Light" w:hAnsi="Avenir Next LT Pro Light"/>
          <w:i/>
          <w:iCs/>
        </w:rPr>
        <w:t xml:space="preserve">oint </w:t>
      </w:r>
      <w:r w:rsidR="0074097A">
        <w:rPr>
          <w:rFonts w:ascii="Avenir Next LT Pro Light" w:hAnsi="Avenir Next LT Pro Light"/>
          <w:i/>
          <w:iCs/>
        </w:rPr>
        <w:t>O</w:t>
      </w:r>
      <w:r w:rsidR="003D31DB" w:rsidRPr="00594BFA">
        <w:rPr>
          <w:rFonts w:ascii="Avenir Next LT Pro Light" w:hAnsi="Avenir Next LT Pro Light"/>
          <w:i/>
          <w:iCs/>
        </w:rPr>
        <w:t>perat</w:t>
      </w:r>
      <w:r w:rsidR="0074097A">
        <w:rPr>
          <w:rFonts w:ascii="Avenir Next LT Pro Light" w:hAnsi="Avenir Next LT Pro Light"/>
          <w:i/>
          <w:iCs/>
        </w:rPr>
        <w:t>o</w:t>
      </w:r>
      <w:r w:rsidR="003D31DB" w:rsidRPr="00594BFA">
        <w:rPr>
          <w:rFonts w:ascii="Avenir Next LT Pro Light" w:hAnsi="Avenir Next LT Pro Light"/>
          <w:i/>
          <w:iCs/>
        </w:rPr>
        <w:t>r</w:t>
      </w:r>
      <w:r w:rsidR="008C60E2" w:rsidRPr="00A83964">
        <w:rPr>
          <w:rFonts w:ascii="Avenir Next LT Pro Light" w:hAnsi="Avenir Next LT Pro Light"/>
        </w:rPr>
        <w:t xml:space="preserve"> </w:t>
      </w:r>
      <w:r w:rsidR="003D31DB">
        <w:rPr>
          <w:rFonts w:ascii="Avenir Next LT Pro Light" w:hAnsi="Avenir Next LT Pro Light"/>
        </w:rPr>
        <w:t>(</w:t>
      </w:r>
      <w:r w:rsidR="008C60E2" w:rsidRPr="00A83964">
        <w:rPr>
          <w:rFonts w:ascii="Avenir Next LT Pro Light" w:hAnsi="Avenir Next LT Pro Light"/>
        </w:rPr>
        <w:t>CPO</w:t>
      </w:r>
      <w:r w:rsidR="003D31DB">
        <w:rPr>
          <w:rFonts w:ascii="Avenir Next LT Pro Light" w:hAnsi="Avenir Next LT Pro Light"/>
        </w:rPr>
        <w:t>)</w:t>
      </w:r>
      <w:r w:rsidR="008C60E2" w:rsidRPr="00A83964">
        <w:rPr>
          <w:rFonts w:ascii="Avenir Next LT Pro Light" w:hAnsi="Avenir Next LT Pro Light"/>
        </w:rPr>
        <w:t xml:space="preserve"> doorrekent aan EV-rijders</w:t>
      </w:r>
      <w:r w:rsidR="008B3DA9">
        <w:rPr>
          <w:rFonts w:ascii="Avenir Next LT Pro Light" w:hAnsi="Avenir Next LT Pro Light"/>
        </w:rPr>
        <w:t xml:space="preserve"> en laaddienstverleners</w:t>
      </w:r>
      <w:r w:rsidR="008C60E2" w:rsidRPr="00A83964">
        <w:rPr>
          <w:rFonts w:ascii="Avenir Next LT Pro Light" w:hAnsi="Avenir Next LT Pro Light"/>
        </w:rPr>
        <w:t xml:space="preserve">. Dit zorgt ervoor dat laadtarieven eerlijk en aantrekkelijk blijven, wat ten goede komt aan het stimuleren van elektrisch vervoer. </w:t>
      </w:r>
    </w:p>
    <w:p w14:paraId="3354CDF9" w14:textId="77777777" w:rsidR="0087287B" w:rsidRDefault="0087287B" w:rsidP="000131EB">
      <w:pPr>
        <w:spacing w:after="0" w:line="276" w:lineRule="auto"/>
        <w:rPr>
          <w:rFonts w:ascii="Avenir Next LT Pro Light" w:hAnsi="Avenir Next LT Pro Light"/>
        </w:rPr>
      </w:pPr>
    </w:p>
    <w:p w14:paraId="576E8E77" w14:textId="54326512" w:rsidR="0087287B" w:rsidRDefault="0087287B" w:rsidP="000131EB">
      <w:pPr>
        <w:spacing w:after="0" w:line="276" w:lineRule="auto"/>
        <w:rPr>
          <w:rFonts w:ascii="Avenir Next LT Pro Light" w:hAnsi="Avenir Next LT Pro Light"/>
        </w:rPr>
      </w:pPr>
      <w:r>
        <w:rPr>
          <w:rFonts w:ascii="Avenir Next LT Pro Light" w:hAnsi="Avenir Next LT Pro Light"/>
        </w:rPr>
        <w:t>MRA-E ziet aanbestedingen als een middel om de vereiste opschaling vanuit het klimaatakkoord betaalbaar en haalbaar te houden.</w:t>
      </w:r>
      <w:r w:rsidR="00B5468F">
        <w:rPr>
          <w:rFonts w:ascii="Avenir Next LT Pro Light" w:hAnsi="Avenir Next LT Pro Light"/>
        </w:rPr>
        <w:t xml:space="preserve"> </w:t>
      </w:r>
      <w:r w:rsidR="00B5468F" w:rsidRPr="0087287B">
        <w:rPr>
          <w:rFonts w:ascii="Avenir Next LT Pro Light" w:hAnsi="Avenir Next LT Pro Light"/>
        </w:rPr>
        <w:t xml:space="preserve">Laadpalen komen precies daar waar behoefte is: waar een </w:t>
      </w:r>
      <w:r w:rsidR="003A249D">
        <w:rPr>
          <w:rFonts w:ascii="Avenir Next LT Pro Light" w:hAnsi="Avenir Next LT Pro Light"/>
        </w:rPr>
        <w:t>e</w:t>
      </w:r>
      <w:r w:rsidR="00B5468F" w:rsidRPr="0087287B">
        <w:rPr>
          <w:rFonts w:ascii="Avenir Next LT Pro Light" w:hAnsi="Avenir Next LT Pro Light"/>
        </w:rPr>
        <w:t xml:space="preserve">-rijder erom vraagt, waar de data laten zien dat de bestaande laadpalen goed worden gebruikt en op slimme locaties. </w:t>
      </w:r>
      <w:r w:rsidR="00B5468F">
        <w:rPr>
          <w:rFonts w:ascii="Avenir Next LT Pro Light" w:hAnsi="Avenir Next LT Pro Light"/>
        </w:rPr>
        <w:t>Een aanbesteding</w:t>
      </w:r>
      <w:r w:rsidR="00B5468F" w:rsidRPr="0087287B">
        <w:rPr>
          <w:rFonts w:ascii="Avenir Next LT Pro Light" w:hAnsi="Avenir Next LT Pro Light"/>
        </w:rPr>
        <w:t xml:space="preserve"> dwingt af dat er laadpalen in stedelijk én landelijk gebied komen, óók op plaatsen die voor de laadpaalexploitant nog minder aantrekkelijk zijn.</w:t>
      </w:r>
    </w:p>
    <w:p w14:paraId="475C503C" w14:textId="77777777" w:rsidR="000859B3" w:rsidRPr="00A83964" w:rsidRDefault="000859B3" w:rsidP="000131EB">
      <w:pPr>
        <w:spacing w:after="0" w:line="276" w:lineRule="auto"/>
        <w:rPr>
          <w:rFonts w:ascii="Avenir Next LT Pro Light" w:hAnsi="Avenir Next LT Pro Light"/>
        </w:rPr>
      </w:pPr>
    </w:p>
    <w:p w14:paraId="3B7EE1F1" w14:textId="775BCC3F" w:rsidR="0070774E" w:rsidRDefault="006C00F6" w:rsidP="000131EB">
      <w:pPr>
        <w:spacing w:after="0" w:line="276" w:lineRule="auto"/>
        <w:rPr>
          <w:rFonts w:ascii="Avenir Next LT Pro Light" w:hAnsi="Avenir Next LT Pro Light"/>
        </w:rPr>
      </w:pPr>
      <w:r>
        <w:rPr>
          <w:rFonts w:ascii="Avenir Next LT Pro Light" w:hAnsi="Avenir Next LT Pro Light"/>
          <w:b/>
          <w:bCs/>
        </w:rPr>
        <w:t xml:space="preserve">De </w:t>
      </w:r>
      <w:r w:rsidR="0070774E">
        <w:rPr>
          <w:rFonts w:ascii="Avenir Next LT Pro Light" w:hAnsi="Avenir Next LT Pro Light"/>
          <w:b/>
          <w:bCs/>
        </w:rPr>
        <w:t xml:space="preserve">Ladder van </w:t>
      </w:r>
      <w:r w:rsidR="00802575">
        <w:rPr>
          <w:rFonts w:ascii="Avenir Next LT Pro Light" w:hAnsi="Avenir Next LT Pro Light"/>
          <w:b/>
          <w:bCs/>
        </w:rPr>
        <w:t>Plaatsen</w:t>
      </w:r>
      <w:r w:rsidR="008C60E2" w:rsidRPr="00A83964">
        <w:rPr>
          <w:rFonts w:ascii="Avenir Next LT Pro Light" w:hAnsi="Avenir Next LT Pro Light"/>
        </w:rPr>
        <w:br/>
      </w:r>
      <w:r w:rsidR="0070774E" w:rsidRPr="0070774E">
        <w:rPr>
          <w:rFonts w:ascii="Avenir Next LT Pro Light" w:hAnsi="Avenir Next LT Pro Light"/>
        </w:rPr>
        <w:t xml:space="preserve">De Ladder van </w:t>
      </w:r>
      <w:r>
        <w:rPr>
          <w:rFonts w:ascii="Avenir Next LT Pro Light" w:hAnsi="Avenir Next LT Pro Light"/>
        </w:rPr>
        <w:t>L</w:t>
      </w:r>
      <w:r w:rsidR="0070774E" w:rsidRPr="0070774E">
        <w:rPr>
          <w:rFonts w:ascii="Avenir Next LT Pro Light" w:hAnsi="Avenir Next LT Pro Light"/>
        </w:rPr>
        <w:t xml:space="preserve">aden  is al jaren een begrip in Nederland. De ladder geeft een hiërarchie aan op welk type locatie bij voorkeur laadpunten worden gerealiseerd, dit gaat van privaat, naar semi-publiek naar publiek. Nieuwer is de </w:t>
      </w:r>
      <w:r w:rsidR="008572A8">
        <w:rPr>
          <w:rFonts w:ascii="Avenir Next LT Pro Light" w:hAnsi="Avenir Next LT Pro Light"/>
        </w:rPr>
        <w:t>‘</w:t>
      </w:r>
      <w:r w:rsidR="00CE0108">
        <w:rPr>
          <w:rFonts w:ascii="Avenir Next LT Pro Light" w:hAnsi="Avenir Next LT Pro Light"/>
        </w:rPr>
        <w:t>L</w:t>
      </w:r>
      <w:r w:rsidR="0070774E" w:rsidRPr="0070774E">
        <w:rPr>
          <w:rFonts w:ascii="Avenir Next LT Pro Light" w:hAnsi="Avenir Next LT Pro Light"/>
        </w:rPr>
        <w:t xml:space="preserve">adder van </w:t>
      </w:r>
      <w:r w:rsidR="00CE0108">
        <w:rPr>
          <w:rFonts w:ascii="Avenir Next LT Pro Light" w:hAnsi="Avenir Next LT Pro Light"/>
        </w:rPr>
        <w:t>P</w:t>
      </w:r>
      <w:r w:rsidR="0070774E" w:rsidRPr="0070774E">
        <w:rPr>
          <w:rFonts w:ascii="Avenir Next LT Pro Light" w:hAnsi="Avenir Next LT Pro Light"/>
        </w:rPr>
        <w:t>laatsen</w:t>
      </w:r>
      <w:r w:rsidR="008572A8">
        <w:rPr>
          <w:rFonts w:ascii="Avenir Next LT Pro Light" w:hAnsi="Avenir Next LT Pro Light"/>
        </w:rPr>
        <w:t>’</w:t>
      </w:r>
      <w:r w:rsidR="0070774E" w:rsidRPr="0070774E">
        <w:rPr>
          <w:rFonts w:ascii="Avenir Next LT Pro Light" w:hAnsi="Avenir Next LT Pro Light"/>
        </w:rPr>
        <w:t xml:space="preserve">. Deze ladder zet de </w:t>
      </w:r>
      <w:r w:rsidR="008572A8" w:rsidRPr="0070774E">
        <w:rPr>
          <w:rFonts w:ascii="Avenir Next LT Pro Light" w:hAnsi="Avenir Next LT Pro Light"/>
        </w:rPr>
        <w:t>hiërarchie</w:t>
      </w:r>
      <w:r w:rsidR="0070774E" w:rsidRPr="0070774E">
        <w:rPr>
          <w:rFonts w:ascii="Avenir Next LT Pro Light" w:hAnsi="Avenir Next LT Pro Light"/>
        </w:rPr>
        <w:t xml:space="preserve"> uiteen voor de aanleiding die tot het plaatsen van een laadpaal leidt</w:t>
      </w:r>
      <w:r w:rsidR="0049430E">
        <w:rPr>
          <w:rFonts w:ascii="Avenir Next LT Pro Light" w:hAnsi="Avenir Next LT Pro Light"/>
        </w:rPr>
        <w:t>: vraaggestuurd, datagestuurd en aanbodgestuurd:</w:t>
      </w:r>
    </w:p>
    <w:p w14:paraId="0DAEB3B8" w14:textId="77777777" w:rsidR="001C40D4" w:rsidRPr="0070774E" w:rsidRDefault="001C40D4" w:rsidP="000131EB">
      <w:pPr>
        <w:spacing w:after="0" w:line="276" w:lineRule="auto"/>
        <w:rPr>
          <w:rFonts w:ascii="Avenir Next LT Pro Light" w:hAnsi="Avenir Next LT Pro Light"/>
        </w:rPr>
      </w:pPr>
    </w:p>
    <w:p w14:paraId="7E5E364F" w14:textId="77777777" w:rsidR="00D0532C" w:rsidRDefault="001C40D4" w:rsidP="000131EB">
      <w:pPr>
        <w:spacing w:after="0" w:line="276" w:lineRule="auto"/>
        <w:rPr>
          <w:rFonts w:ascii="Avenir Next LT Pro Light" w:hAnsi="Avenir Next LT Pro Light"/>
        </w:rPr>
      </w:pPr>
      <w:r w:rsidRPr="0070774E">
        <w:rPr>
          <w:rFonts w:ascii="Avenir Next LT Pro Light" w:hAnsi="Avenir Next LT Pro Light"/>
          <w:noProof/>
          <w:lang w:eastAsia="nl-NL"/>
        </w:rPr>
        <w:lastRenderedPageBreak/>
        <mc:AlternateContent>
          <mc:Choice Requires="wps">
            <w:drawing>
              <wp:anchor distT="45720" distB="45720" distL="114300" distR="114300" simplePos="0" relativeHeight="251654144" behindDoc="0" locked="0" layoutInCell="1" allowOverlap="1" wp14:anchorId="7EE2FEF7" wp14:editId="655C4A28">
                <wp:simplePos x="0" y="0"/>
                <wp:positionH relativeFrom="margin">
                  <wp:align>right</wp:align>
                </wp:positionH>
                <wp:positionV relativeFrom="paragraph">
                  <wp:posOffset>52285</wp:posOffset>
                </wp:positionV>
                <wp:extent cx="4016375" cy="1009650"/>
                <wp:effectExtent l="0" t="0" r="22225" b="1905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1009650"/>
                        </a:xfrm>
                        <a:prstGeom prst="rect">
                          <a:avLst/>
                        </a:prstGeom>
                        <a:solidFill>
                          <a:srgbClr val="FFFFFF"/>
                        </a:solidFill>
                        <a:ln w="9525">
                          <a:solidFill>
                            <a:srgbClr val="000000"/>
                          </a:solidFill>
                          <a:miter lim="800000"/>
                          <a:headEnd/>
                          <a:tailEnd/>
                        </a:ln>
                      </wps:spPr>
                      <wps:txbx>
                        <w:txbxContent>
                          <w:p w14:paraId="0D8AC116" w14:textId="77777777" w:rsidR="00677C1D" w:rsidRPr="0070774E" w:rsidRDefault="00677C1D" w:rsidP="0070774E">
                            <w:pPr>
                              <w:rPr>
                                <w:rFonts w:ascii="Avenir Next LT Pro Light" w:hAnsi="Avenir Next LT Pro Light"/>
                                <w:sz w:val="18"/>
                                <w:szCs w:val="20"/>
                              </w:rPr>
                            </w:pPr>
                            <w:r w:rsidRPr="0070774E">
                              <w:rPr>
                                <w:rFonts w:ascii="Avenir Next LT Pro Light" w:hAnsi="Avenir Next LT Pro Light"/>
                                <w:b/>
                                <w:bCs/>
                              </w:rPr>
                              <w:t>1. Vraaggestuurd – verzoeken inwoners en bedrijven</w:t>
                            </w:r>
                            <w:r w:rsidRPr="0070774E">
                              <w:rPr>
                                <w:rFonts w:ascii="Avenir Next LT Pro Light" w:hAnsi="Avenir Next LT Pro Light"/>
                                <w:b/>
                                <w:bCs/>
                              </w:rPr>
                              <w:br/>
                            </w:r>
                            <w:r w:rsidRPr="0070774E">
                              <w:rPr>
                                <w:rFonts w:ascii="Avenir Next LT Pro Light" w:hAnsi="Avenir Next LT Pro Light"/>
                                <w:sz w:val="18"/>
                                <w:szCs w:val="20"/>
                              </w:rPr>
                              <w:t xml:space="preserve">Inwoners of bedrijven melden zich in het aanvraagportaal van MRA-Elektrisch. Wanneer een verzoek aan de toetsingscriteria voldoet wordt het laadnetwerk uitgebreid. </w:t>
                            </w:r>
                            <w:r w:rsidRPr="0070774E">
                              <w:rPr>
                                <w:rFonts w:ascii="Avenir Next LT Pro Light" w:hAnsi="Avenir Next LT Pro Light"/>
                                <w:color w:val="4472C4" w:themeColor="accent1"/>
                                <w:sz w:val="18"/>
                                <w:szCs w:val="20"/>
                              </w:rPr>
                              <w:t>Wanneer er onvoldoende plaatsingscapaciteit is bij de betrokkenen wordt voorrang gegeven aan het voorbereiden en realiseren van laadlocaties met deze aanleiding.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EE2FEF7" id="_x0000_t202" coordsize="21600,21600" o:spt="202" path="m,l,21600r21600,l21600,xe">
                <v:stroke joinstyle="miter"/>
                <v:path gradientshapeok="t" o:connecttype="rect"/>
              </v:shapetype>
              <v:shape id="Tekstvak 2" o:spid="_x0000_s1026" type="#_x0000_t202" style="position:absolute;margin-left:265.05pt;margin-top:4.1pt;width:316.25pt;height:79.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">
                <v:textbox>
                  <w:txbxContent>
                    <w:p w14:paraId="0D8AC116" w14:textId="77777777" w:rsidR="00677C1D" w:rsidRPr="0070774E" w:rsidRDefault="00677C1D" w:rsidP="0070774E">
                      <w:pPr>
                        <w:rPr>
                          <w:rFonts w:ascii="Avenir Next LT Pro Light" w:hAnsi="Avenir Next LT Pro Light"/>
                          <w:sz w:val="18"/>
                          <w:szCs w:val="20"/>
                        </w:rPr>
                      </w:pPr>
                      <w:r w:rsidRPr="0070774E">
                        <w:rPr>
                          <w:rFonts w:ascii="Avenir Next LT Pro Light" w:hAnsi="Avenir Next LT Pro Light"/>
                          <w:b/>
                          <w:bCs/>
                        </w:rPr>
                        <w:t xml:space="preserve">1. </w:t>
                      </w:r>
                      <w:proofErr w:type="spellStart"/>
                      <w:r w:rsidRPr="0070774E">
                        <w:rPr>
                          <w:rFonts w:ascii="Avenir Next LT Pro Light" w:hAnsi="Avenir Next LT Pro Light"/>
                          <w:b/>
                          <w:bCs/>
                        </w:rPr>
                        <w:t>Vraaggestuurd</w:t>
                      </w:r>
                      <w:proofErr w:type="spellEnd"/>
                      <w:r w:rsidRPr="0070774E">
                        <w:rPr>
                          <w:rFonts w:ascii="Avenir Next LT Pro Light" w:hAnsi="Avenir Next LT Pro Light"/>
                          <w:b/>
                          <w:bCs/>
                        </w:rPr>
                        <w:t xml:space="preserve"> – verzoeken inwoners en bedrijven</w:t>
                      </w:r>
                      <w:r w:rsidRPr="0070774E">
                        <w:rPr>
                          <w:rFonts w:ascii="Avenir Next LT Pro Light" w:hAnsi="Avenir Next LT Pro Light"/>
                          <w:b/>
                          <w:bCs/>
                        </w:rPr>
                        <w:br/>
                      </w:r>
                      <w:r w:rsidRPr="0070774E">
                        <w:rPr>
                          <w:rFonts w:ascii="Avenir Next LT Pro Light" w:hAnsi="Avenir Next LT Pro Light"/>
                          <w:sz w:val="18"/>
                          <w:szCs w:val="20"/>
                        </w:rPr>
                        <w:t xml:space="preserve">Inwoners of bedrijven melden zich in het aanvraagportaal van MRA-Elektrisch. Wanneer een verzoek aan de toetsingscriteria voldoet wordt het laadnetwerk uitgebreid. </w:t>
                      </w:r>
                      <w:r w:rsidRPr="0070774E">
                        <w:rPr>
                          <w:rFonts w:ascii="Avenir Next LT Pro Light" w:hAnsi="Avenir Next LT Pro Light"/>
                          <w:color w:val="4472C4" w:themeColor="accent1"/>
                          <w:sz w:val="18"/>
                          <w:szCs w:val="20"/>
                        </w:rPr>
                        <w:t>Wanneer er onvoldoende plaatsingscapaciteit is bij de betrokkenen wordt voorrang gegeven aan het voorbereiden en realiseren van laadlocaties met deze aanleiding.</w:t>
                      </w:r>
                    </w:p>
                  </w:txbxContent>
                </v:textbox>
                <w10:wrap type="square" anchorx="margin"/>
              </v:shape>
            </w:pict>
          </mc:Fallback>
        </mc:AlternateContent>
      </w:r>
      <w:r w:rsidR="008572A8" w:rsidRPr="0070774E">
        <w:rPr>
          <w:rFonts w:ascii="Avenir Next LT Pro Light" w:hAnsi="Avenir Next LT Pro Light"/>
          <w:noProof/>
          <w:lang w:eastAsia="nl-NL"/>
        </w:rPr>
        <mc:AlternateContent>
          <mc:Choice Requires="wps">
            <w:drawing>
              <wp:anchor distT="45720" distB="45720" distL="114300" distR="114300" simplePos="0" relativeHeight="251658240" behindDoc="0" locked="0" layoutInCell="1" allowOverlap="1" wp14:anchorId="2095C743" wp14:editId="2D0A09F1">
                <wp:simplePos x="0" y="0"/>
                <wp:positionH relativeFrom="margin">
                  <wp:align>right</wp:align>
                </wp:positionH>
                <wp:positionV relativeFrom="paragraph">
                  <wp:posOffset>2500690</wp:posOffset>
                </wp:positionV>
                <wp:extent cx="4016375" cy="1000125"/>
                <wp:effectExtent l="0" t="0" r="22225" b="2857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1000664"/>
                        </a:xfrm>
                        <a:prstGeom prst="rect">
                          <a:avLst/>
                        </a:prstGeom>
                        <a:solidFill>
                          <a:srgbClr val="FFFFFF"/>
                        </a:solidFill>
                        <a:ln w="9525">
                          <a:solidFill>
                            <a:srgbClr val="000000"/>
                          </a:solidFill>
                          <a:miter lim="800000"/>
                          <a:headEnd/>
                          <a:tailEnd/>
                        </a:ln>
                      </wps:spPr>
                      <wps:txbx>
                        <w:txbxContent>
                          <w:p w14:paraId="606522B4" w14:textId="77777777" w:rsidR="00677C1D" w:rsidRPr="0070774E" w:rsidRDefault="00677C1D" w:rsidP="0070774E">
                            <w:pPr>
                              <w:rPr>
                                <w:rFonts w:ascii="Avenir Next LT Pro Light" w:hAnsi="Avenir Next LT Pro Light"/>
                                <w:b/>
                                <w:bCs/>
                              </w:rPr>
                            </w:pPr>
                            <w:r w:rsidRPr="0070774E">
                              <w:rPr>
                                <w:rFonts w:ascii="Avenir Next LT Pro Light" w:hAnsi="Avenir Next LT Pro Light"/>
                                <w:b/>
                                <w:bCs/>
                              </w:rPr>
                              <w:t>3. Aanbodgestuurd</w:t>
                            </w:r>
                            <w:r w:rsidRPr="0070774E">
                              <w:rPr>
                                <w:rFonts w:ascii="Avenir Next LT Pro Light" w:hAnsi="Avenir Next LT Pro Light"/>
                                <w:b/>
                                <w:bCs/>
                              </w:rPr>
                              <w:br/>
                            </w:r>
                            <w:r w:rsidRPr="0070774E">
                              <w:rPr>
                                <w:rFonts w:ascii="Avenir Next LT Pro Light" w:hAnsi="Avenir Next LT Pro Light"/>
                                <w:sz w:val="18"/>
                                <w:szCs w:val="20"/>
                              </w:rPr>
                              <w:t>Op sommige plekken ontbreekt het aan informatie over de laadbehoefte. Toch kan de gemeente om verschillende redenen een publieke laadoplossing willen aanbieden.</w:t>
                            </w:r>
                            <w:r w:rsidRPr="0070774E">
                              <w:rPr>
                                <w:rFonts w:ascii="Avenir Next LT Pro Light" w:hAnsi="Avenir Next LT Pro Light"/>
                                <w:b/>
                                <w:bCs/>
                                <w:sz w:val="18"/>
                                <w:szCs w:val="20"/>
                              </w:rPr>
                              <w:t xml:space="preserve"> </w:t>
                            </w:r>
                            <w:r w:rsidRPr="0070774E">
                              <w:rPr>
                                <w:rFonts w:ascii="Avenir Next LT Pro Light" w:hAnsi="Avenir Next LT Pro Light"/>
                                <w:sz w:val="18"/>
                                <w:szCs w:val="20"/>
                              </w:rPr>
                              <w:t>Zo kunnen zij inschatten dat er bepaalde laadbehoefte is, of de gemeente wil met de laadpaal elektrisch rijden zichtbaar maken.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95C743" id="_x0000_s1027" type="#_x0000_t202" style="position:absolute;margin-left:265.05pt;margin-top:196.9pt;width:316.25pt;height:78.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">
                <v:textbox>
                  <w:txbxContent>
                    <w:p w14:paraId="606522B4" w14:textId="77777777" w:rsidR="00677C1D" w:rsidRPr="0070774E" w:rsidRDefault="00677C1D" w:rsidP="0070774E">
                      <w:pPr>
                        <w:rPr>
                          <w:rFonts w:ascii="Avenir Next LT Pro Light" w:hAnsi="Avenir Next LT Pro Light"/>
                          <w:b/>
                          <w:bCs/>
                        </w:rPr>
                      </w:pPr>
                      <w:r w:rsidRPr="0070774E">
                        <w:rPr>
                          <w:rFonts w:ascii="Avenir Next LT Pro Light" w:hAnsi="Avenir Next LT Pro Light"/>
                          <w:b/>
                          <w:bCs/>
                        </w:rPr>
                        <w:t xml:space="preserve">3. </w:t>
                      </w:r>
                      <w:proofErr w:type="spellStart"/>
                      <w:r w:rsidRPr="0070774E">
                        <w:rPr>
                          <w:rFonts w:ascii="Avenir Next LT Pro Light" w:hAnsi="Avenir Next LT Pro Light"/>
                          <w:b/>
                          <w:bCs/>
                        </w:rPr>
                        <w:t>Aanbodgestuurd</w:t>
                      </w:r>
                      <w:proofErr w:type="spellEnd"/>
                      <w:r w:rsidRPr="0070774E">
                        <w:rPr>
                          <w:rFonts w:ascii="Avenir Next LT Pro Light" w:hAnsi="Avenir Next LT Pro Light"/>
                          <w:b/>
                          <w:bCs/>
                        </w:rPr>
                        <w:br/>
                      </w:r>
                      <w:r w:rsidRPr="0070774E">
                        <w:rPr>
                          <w:rFonts w:ascii="Avenir Next LT Pro Light" w:hAnsi="Avenir Next LT Pro Light"/>
                          <w:sz w:val="18"/>
                          <w:szCs w:val="20"/>
                        </w:rPr>
                        <w:t>Op sommige plekken ontbreekt het aan informatie over de laadbehoefte. Toch kan de gemeente om verschillende redenen een publieke laadoplossing willen aanbieden.</w:t>
                      </w:r>
                      <w:r w:rsidRPr="0070774E">
                        <w:rPr>
                          <w:rFonts w:ascii="Avenir Next LT Pro Light" w:hAnsi="Avenir Next LT Pro Light"/>
                          <w:b/>
                          <w:bCs/>
                          <w:sz w:val="18"/>
                          <w:szCs w:val="20"/>
                        </w:rPr>
                        <w:t xml:space="preserve"> </w:t>
                      </w:r>
                      <w:r w:rsidRPr="0070774E">
                        <w:rPr>
                          <w:rFonts w:ascii="Avenir Next LT Pro Light" w:hAnsi="Avenir Next LT Pro Light"/>
                          <w:sz w:val="18"/>
                          <w:szCs w:val="20"/>
                        </w:rPr>
                        <w:t>Zo kunnen zij inschatten dat er bepaalde laadbehoefte is, of de gemeente wil met de laadpaal elektrisch rijden zichtbaar maken.</w:t>
                      </w:r>
                    </w:p>
                  </w:txbxContent>
                </v:textbox>
                <w10:wrap type="square" anchorx="margin"/>
              </v:shape>
            </w:pict>
          </mc:Fallback>
        </mc:AlternateContent>
      </w:r>
      <w:r w:rsidR="008572A8" w:rsidRPr="0070774E">
        <w:rPr>
          <w:rFonts w:ascii="Avenir Next LT Pro Light" w:hAnsi="Avenir Next LT Pro Light"/>
          <w:noProof/>
          <w:lang w:eastAsia="nl-NL"/>
        </w:rPr>
        <mc:AlternateContent>
          <mc:Choice Requires="wps">
            <w:drawing>
              <wp:anchor distT="45720" distB="45720" distL="114300" distR="114300" simplePos="0" relativeHeight="251656192" behindDoc="0" locked="0" layoutInCell="1" allowOverlap="1" wp14:anchorId="752C29A8" wp14:editId="3A46FA55">
                <wp:simplePos x="0" y="0"/>
                <wp:positionH relativeFrom="margin">
                  <wp:align>right</wp:align>
                </wp:positionH>
                <wp:positionV relativeFrom="paragraph">
                  <wp:posOffset>1029970</wp:posOffset>
                </wp:positionV>
                <wp:extent cx="4016375" cy="1492250"/>
                <wp:effectExtent l="0" t="0" r="22225" b="1270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1492370"/>
                        </a:xfrm>
                        <a:prstGeom prst="rect">
                          <a:avLst/>
                        </a:prstGeom>
                        <a:solidFill>
                          <a:srgbClr val="FFFFFF"/>
                        </a:solidFill>
                        <a:ln w="9525">
                          <a:solidFill>
                            <a:srgbClr val="000000"/>
                          </a:solidFill>
                          <a:miter lim="800000"/>
                          <a:headEnd/>
                          <a:tailEnd/>
                        </a:ln>
                      </wps:spPr>
                      <wps:txbx>
                        <w:txbxContent>
                          <w:p w14:paraId="1E26AB25" w14:textId="4F40CF1A" w:rsidR="00677C1D" w:rsidRPr="0070774E" w:rsidRDefault="00677C1D" w:rsidP="0070774E">
                            <w:pPr>
                              <w:rPr>
                                <w:rFonts w:ascii="Avenir Next LT Pro Light" w:hAnsi="Avenir Next LT Pro Light"/>
                                <w:sz w:val="18"/>
                                <w:szCs w:val="20"/>
                              </w:rPr>
                            </w:pPr>
                            <w:r w:rsidRPr="0070774E">
                              <w:rPr>
                                <w:rFonts w:ascii="Avenir Next LT Pro Light" w:hAnsi="Avenir Next LT Pro Light"/>
                                <w:b/>
                                <w:bCs/>
                              </w:rPr>
                              <w:t>2. Vraaggestuurd – data</w:t>
                            </w:r>
                            <w:r w:rsidRPr="0070774E">
                              <w:rPr>
                                <w:rFonts w:ascii="Avenir Next LT Pro Light" w:hAnsi="Avenir Next LT Pro Light"/>
                                <w:b/>
                                <w:bCs/>
                              </w:rPr>
                              <w:br/>
                            </w:r>
                            <w:r w:rsidRPr="0070774E">
                              <w:rPr>
                                <w:rFonts w:ascii="Avenir Next LT Pro Light" w:hAnsi="Avenir Next LT Pro Light"/>
                                <w:sz w:val="18"/>
                                <w:szCs w:val="20"/>
                              </w:rPr>
                              <w:t xml:space="preserve">Wanneer er gedetailleerde en actuele laaddata beschikbaar is in een straat of buurt kan </w:t>
                            </w:r>
                            <w:r>
                              <w:rPr>
                                <w:rFonts w:ascii="Avenir Next LT Pro Light" w:hAnsi="Avenir Next LT Pro Light"/>
                                <w:sz w:val="18"/>
                                <w:szCs w:val="20"/>
                              </w:rPr>
                              <w:t xml:space="preserve">snel </w:t>
                            </w:r>
                            <w:r w:rsidRPr="0070774E">
                              <w:rPr>
                                <w:rFonts w:ascii="Avenir Next LT Pro Light" w:hAnsi="Avenir Next LT Pro Light"/>
                                <w:sz w:val="18"/>
                                <w:szCs w:val="20"/>
                              </w:rPr>
                              <w:t xml:space="preserve">op </w:t>
                            </w:r>
                            <w:r>
                              <w:rPr>
                                <w:rFonts w:ascii="Avenir Next LT Pro Light" w:hAnsi="Avenir Next LT Pro Light"/>
                                <w:sz w:val="18"/>
                                <w:szCs w:val="20"/>
                              </w:rPr>
                              <w:t xml:space="preserve">de </w:t>
                            </w:r>
                            <w:r w:rsidRPr="0070774E">
                              <w:rPr>
                                <w:rFonts w:ascii="Avenir Next LT Pro Light" w:hAnsi="Avenir Next LT Pro Light"/>
                                <w:sz w:val="18"/>
                                <w:szCs w:val="20"/>
                              </w:rPr>
                              <w:t xml:space="preserve">oplopende vraag in gespeeld worden. Zoveel mogelijk geautomatiseerde analyses identificeren waar het </w:t>
                            </w:r>
                            <w:r>
                              <w:rPr>
                                <w:rFonts w:ascii="Avenir Next LT Pro Light" w:hAnsi="Avenir Next LT Pro Light"/>
                                <w:sz w:val="18"/>
                                <w:szCs w:val="20"/>
                              </w:rPr>
                              <w:t>laad</w:t>
                            </w:r>
                            <w:r w:rsidRPr="0070774E">
                              <w:rPr>
                                <w:rFonts w:ascii="Avenir Next LT Pro Light" w:hAnsi="Avenir Next LT Pro Light"/>
                                <w:sz w:val="18"/>
                                <w:szCs w:val="20"/>
                              </w:rPr>
                              <w:t xml:space="preserve">netwerk uitgebreid zou moeten worden. Zo </w:t>
                            </w:r>
                            <w:r>
                              <w:rPr>
                                <w:rFonts w:ascii="Avenir Next LT Pro Light" w:hAnsi="Avenir Next LT Pro Light"/>
                                <w:sz w:val="18"/>
                                <w:szCs w:val="20"/>
                              </w:rPr>
                              <w:t>wordt geplaatst</w:t>
                            </w:r>
                            <w:r w:rsidRPr="0070774E">
                              <w:rPr>
                                <w:rFonts w:ascii="Avenir Next LT Pro Light" w:hAnsi="Avenir Next LT Pro Light"/>
                                <w:sz w:val="18"/>
                                <w:szCs w:val="20"/>
                              </w:rPr>
                              <w:t xml:space="preserve"> naar reële vraag én met minder moeite voor inwoners of de gemeente. </w:t>
                            </w:r>
                            <w:r w:rsidRPr="0070774E">
                              <w:rPr>
                                <w:rFonts w:ascii="Avenir Next LT Pro Light" w:hAnsi="Avenir Next LT Pro Light"/>
                                <w:color w:val="4472C4" w:themeColor="accent1"/>
                                <w:sz w:val="18"/>
                                <w:szCs w:val="20"/>
                              </w:rPr>
                              <w:t>Voorwaardelijk is een lokaal dekkend netwerk van laadpunten dat de benodigde informatie kan leveren, dit is op veel plekken nog niet het geval.</w:t>
                            </w:r>
                          </w:p>
                          <w:p w14:paraId="4C806ABB" w14:textId="77777777" w:rsidR="00677C1D" w:rsidRPr="006D6493" w:rsidRDefault="00677C1D" w:rsidP="0070774E">
                            <w:pPr>
                              <w:rPr>
                                <w:rFonts w:ascii="Avenir LT Std 45 Book" w:hAnsi="Avenir LT Std 45 Book"/>
                                <w:b/>
                                <w:bCs/>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2C29A8" id="_x0000_s1028" type="#_x0000_t202" style="position:absolute;margin-left:265.05pt;margin-top:81.1pt;width:316.25pt;height:117.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">
                <v:textbox>
                  <w:txbxContent>
                    <w:p w14:paraId="1E26AB25" w14:textId="4F40CF1A" w:rsidR="00677C1D" w:rsidRPr="0070774E" w:rsidRDefault="00677C1D" w:rsidP="0070774E">
                      <w:pPr>
                        <w:rPr>
                          <w:rFonts w:ascii="Avenir Next LT Pro Light" w:hAnsi="Avenir Next LT Pro Light"/>
                          <w:sz w:val="18"/>
                          <w:szCs w:val="20"/>
                        </w:rPr>
                      </w:pPr>
                      <w:r w:rsidRPr="0070774E">
                        <w:rPr>
                          <w:rFonts w:ascii="Avenir Next LT Pro Light" w:hAnsi="Avenir Next LT Pro Light"/>
                          <w:b/>
                          <w:bCs/>
                        </w:rPr>
                        <w:t xml:space="preserve">2. </w:t>
                      </w:r>
                      <w:proofErr w:type="spellStart"/>
                      <w:r w:rsidRPr="0070774E">
                        <w:rPr>
                          <w:rFonts w:ascii="Avenir Next LT Pro Light" w:hAnsi="Avenir Next LT Pro Light"/>
                          <w:b/>
                          <w:bCs/>
                        </w:rPr>
                        <w:t>Vraaggestuurd</w:t>
                      </w:r>
                      <w:proofErr w:type="spellEnd"/>
                      <w:r w:rsidRPr="0070774E">
                        <w:rPr>
                          <w:rFonts w:ascii="Avenir Next LT Pro Light" w:hAnsi="Avenir Next LT Pro Light"/>
                          <w:b/>
                          <w:bCs/>
                        </w:rPr>
                        <w:t xml:space="preserve"> – data</w:t>
                      </w:r>
                      <w:r w:rsidRPr="0070774E">
                        <w:rPr>
                          <w:rFonts w:ascii="Avenir Next LT Pro Light" w:hAnsi="Avenir Next LT Pro Light"/>
                          <w:b/>
                          <w:bCs/>
                        </w:rPr>
                        <w:br/>
                      </w:r>
                      <w:r w:rsidRPr="0070774E">
                        <w:rPr>
                          <w:rFonts w:ascii="Avenir Next LT Pro Light" w:hAnsi="Avenir Next LT Pro Light"/>
                          <w:sz w:val="18"/>
                          <w:szCs w:val="20"/>
                        </w:rPr>
                        <w:t xml:space="preserve">Wanneer er gedetailleerde en actuele laaddata beschikbaar is in een straat of buurt kan </w:t>
                      </w:r>
                      <w:r>
                        <w:rPr>
                          <w:rFonts w:ascii="Avenir Next LT Pro Light" w:hAnsi="Avenir Next LT Pro Light"/>
                          <w:sz w:val="18"/>
                          <w:szCs w:val="20"/>
                        </w:rPr>
                        <w:t xml:space="preserve">snel </w:t>
                      </w:r>
                      <w:r w:rsidRPr="0070774E">
                        <w:rPr>
                          <w:rFonts w:ascii="Avenir Next LT Pro Light" w:hAnsi="Avenir Next LT Pro Light"/>
                          <w:sz w:val="18"/>
                          <w:szCs w:val="20"/>
                        </w:rPr>
                        <w:t xml:space="preserve">op </w:t>
                      </w:r>
                      <w:r>
                        <w:rPr>
                          <w:rFonts w:ascii="Avenir Next LT Pro Light" w:hAnsi="Avenir Next LT Pro Light"/>
                          <w:sz w:val="18"/>
                          <w:szCs w:val="20"/>
                        </w:rPr>
                        <w:t xml:space="preserve">de </w:t>
                      </w:r>
                      <w:r w:rsidRPr="0070774E">
                        <w:rPr>
                          <w:rFonts w:ascii="Avenir Next LT Pro Light" w:hAnsi="Avenir Next LT Pro Light"/>
                          <w:sz w:val="18"/>
                          <w:szCs w:val="20"/>
                        </w:rPr>
                        <w:t xml:space="preserve">oplopende vraag in gespeeld worden. Zoveel mogelijk geautomatiseerde analyses identificeren waar het </w:t>
                      </w:r>
                      <w:r>
                        <w:rPr>
                          <w:rFonts w:ascii="Avenir Next LT Pro Light" w:hAnsi="Avenir Next LT Pro Light"/>
                          <w:sz w:val="18"/>
                          <w:szCs w:val="20"/>
                        </w:rPr>
                        <w:t>laad</w:t>
                      </w:r>
                      <w:r w:rsidRPr="0070774E">
                        <w:rPr>
                          <w:rFonts w:ascii="Avenir Next LT Pro Light" w:hAnsi="Avenir Next LT Pro Light"/>
                          <w:sz w:val="18"/>
                          <w:szCs w:val="20"/>
                        </w:rPr>
                        <w:t xml:space="preserve">netwerk uitgebreid zou moeten worden. Zo </w:t>
                      </w:r>
                      <w:r>
                        <w:rPr>
                          <w:rFonts w:ascii="Avenir Next LT Pro Light" w:hAnsi="Avenir Next LT Pro Light"/>
                          <w:sz w:val="18"/>
                          <w:szCs w:val="20"/>
                        </w:rPr>
                        <w:t>wordt geplaatst</w:t>
                      </w:r>
                      <w:r w:rsidRPr="0070774E">
                        <w:rPr>
                          <w:rFonts w:ascii="Avenir Next LT Pro Light" w:hAnsi="Avenir Next LT Pro Light"/>
                          <w:sz w:val="18"/>
                          <w:szCs w:val="20"/>
                        </w:rPr>
                        <w:t xml:space="preserve"> naar reële vraag én met minder moeite voor inwoners of de gemeente. </w:t>
                      </w:r>
                      <w:r w:rsidRPr="0070774E">
                        <w:rPr>
                          <w:rFonts w:ascii="Avenir Next LT Pro Light" w:hAnsi="Avenir Next LT Pro Light"/>
                          <w:color w:val="4472C4" w:themeColor="accent1"/>
                          <w:sz w:val="18"/>
                          <w:szCs w:val="20"/>
                        </w:rPr>
                        <w:t>Voorwaardelijk is een lokaal dekkend netwerk van laadpunten dat de benodigde informatie kan leveren, dit is op veel plekken nog niet het geval.</w:t>
                      </w:r>
                    </w:p>
                    <w:p w14:paraId="4C806ABB" w14:textId="77777777" w:rsidR="00677C1D" w:rsidRPr="006D6493" w:rsidRDefault="00677C1D" w:rsidP="0070774E">
                      <w:pPr>
                        <w:rPr>
                          <w:rFonts w:ascii="Avenir LT Std 45 Book" w:hAnsi="Avenir LT Std 45 Book"/>
                          <w:b/>
                          <w:bCs/>
                          <w:sz w:val="18"/>
                          <w:szCs w:val="20"/>
                        </w:rPr>
                      </w:pPr>
                    </w:p>
                  </w:txbxContent>
                </v:textbox>
                <w10:wrap type="square" anchorx="margin"/>
              </v:shape>
            </w:pict>
          </mc:Fallback>
        </mc:AlternateContent>
      </w:r>
      <w:r w:rsidR="0070774E">
        <w:rPr>
          <w:noProof/>
          <w:lang w:eastAsia="nl-NL"/>
        </w:rPr>
        <w:drawing>
          <wp:inline distT="0" distB="0" distL="0" distR="0" wp14:anchorId="4FFE62B9" wp14:editId="6D1E36DC">
            <wp:extent cx="1156970" cy="3520176"/>
            <wp:effectExtent l="0" t="0" r="508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7996" cy="3584149"/>
                    </a:xfrm>
                    <a:prstGeom prst="rect">
                      <a:avLst/>
                    </a:prstGeom>
                  </pic:spPr>
                </pic:pic>
              </a:graphicData>
            </a:graphic>
          </wp:inline>
        </w:drawing>
      </w:r>
      <w:r w:rsidR="0070774E">
        <w:rPr>
          <w:rFonts w:ascii="Avenir Next LT Pro Light" w:hAnsi="Avenir Next LT Pro Light"/>
        </w:rPr>
        <w:br/>
      </w:r>
      <w:r w:rsidR="0070774E">
        <w:rPr>
          <w:rFonts w:ascii="Avenir Next LT Pro Light" w:hAnsi="Avenir Next LT Pro Light"/>
        </w:rPr>
        <w:br/>
      </w:r>
      <w:r w:rsidR="008C60E2" w:rsidRPr="00A83964">
        <w:rPr>
          <w:rFonts w:ascii="Avenir Next LT Pro Light" w:hAnsi="Avenir Next LT Pro Light"/>
        </w:rPr>
        <w:t>Veruit het grootste deel van de laadpalen in de bij MRA-E aangesloten gemeenten wordt vraaggestuurd geplaatst. Vraaggestuurd  betekent dat aan de locatie een verzoek van een inwoner</w:t>
      </w:r>
      <w:r w:rsidR="00CE45F6">
        <w:rPr>
          <w:rFonts w:ascii="Avenir Next LT Pro Light" w:hAnsi="Avenir Next LT Pro Light"/>
        </w:rPr>
        <w:t>,</w:t>
      </w:r>
      <w:r w:rsidR="008C60E2" w:rsidRPr="00A83964">
        <w:rPr>
          <w:rFonts w:ascii="Avenir Next LT Pro Light" w:hAnsi="Avenir Next LT Pro Light"/>
        </w:rPr>
        <w:t xml:space="preserve"> werkende of een data-analyse ten grondslag ligt</w:t>
      </w:r>
      <w:r w:rsidR="00CE45F6">
        <w:rPr>
          <w:rFonts w:ascii="Avenir Next LT Pro Light" w:hAnsi="Avenir Next LT Pro Light"/>
        </w:rPr>
        <w:t xml:space="preserve"> (zie ook bovenstaande afbeelding)</w:t>
      </w:r>
      <w:r w:rsidR="008C60E2" w:rsidRPr="00A83964">
        <w:rPr>
          <w:rFonts w:ascii="Avenir Next LT Pro Light" w:hAnsi="Avenir Next LT Pro Light"/>
        </w:rPr>
        <w:t xml:space="preserve">. </w:t>
      </w:r>
    </w:p>
    <w:p w14:paraId="337C22D6" w14:textId="77777777" w:rsidR="00D0532C" w:rsidRDefault="00D0532C" w:rsidP="000131EB">
      <w:pPr>
        <w:spacing w:after="0" w:line="276" w:lineRule="auto"/>
        <w:rPr>
          <w:rFonts w:ascii="Avenir Next LT Pro Light" w:hAnsi="Avenir Next LT Pro Light"/>
        </w:rPr>
      </w:pPr>
    </w:p>
    <w:p w14:paraId="0231532B" w14:textId="40E32D8C" w:rsidR="008C60E2" w:rsidRPr="00A83964" w:rsidRDefault="00CE45F6" w:rsidP="000131EB">
      <w:pPr>
        <w:spacing w:after="0" w:line="276" w:lineRule="auto"/>
        <w:rPr>
          <w:rFonts w:ascii="Avenir Next LT Pro Light" w:hAnsi="Avenir Next LT Pro Light"/>
        </w:rPr>
      </w:pPr>
      <w:r w:rsidRPr="00A83964">
        <w:rPr>
          <w:rFonts w:ascii="Avenir Next LT Pro Light" w:hAnsi="Avenir Next LT Pro Light"/>
        </w:rPr>
        <w:t xml:space="preserve">Onder bepaalde voorwaarden kiezen de bij MRA-E aangesloten gemeenten ook voor het plaatsen van aanbodgestuurde laadpalen, bijvoorbeeld op locaties waar gemeenten veel bezoekers met elektrisch voertuigen verwachten, maar waar geen aanvragers zich zullen melden. Een risico bij deze vorm van plaatsen is dat de palen in de praktijk niet goed worden gebruikt. Dit heeft een negatief effect op de beeldvorming rond elektrisch rijden en het gebruik van de openbare ruimte en brengt hogere kosten met zich mee. </w:t>
      </w:r>
      <w:r w:rsidR="008C60E2" w:rsidRPr="00A83964">
        <w:rPr>
          <w:rFonts w:ascii="Avenir Next LT Pro Light" w:hAnsi="Avenir Next LT Pro Light"/>
        </w:rPr>
        <w:br/>
      </w:r>
      <w:r w:rsidR="008C60E2" w:rsidRPr="00A83964">
        <w:rPr>
          <w:rFonts w:ascii="Avenir Next LT Pro Light" w:hAnsi="Avenir Next LT Pro Light"/>
        </w:rPr>
        <w:br/>
      </w:r>
      <w:r w:rsidR="00D0532C">
        <w:rPr>
          <w:rFonts w:ascii="Avenir Next LT Pro Light" w:hAnsi="Avenir Next LT Pro Light"/>
        </w:rPr>
        <w:t xml:space="preserve">MRA-E geeft voorkeur aan vraaggestuurd plaatsen, zowel op basis van data als op basis van verzoeken van inwoners en bedrijven, vanwege </w:t>
      </w:r>
      <w:r w:rsidR="008C60E2" w:rsidRPr="00A83964">
        <w:rPr>
          <w:rFonts w:ascii="Avenir Next LT Pro Light" w:hAnsi="Avenir Next LT Pro Light"/>
        </w:rPr>
        <w:t xml:space="preserve">vijf belangrijke redenen: </w:t>
      </w:r>
    </w:p>
    <w:p w14:paraId="39504A60" w14:textId="4620EEBF" w:rsidR="008C60E2" w:rsidRPr="00A83964" w:rsidRDefault="008C60E2" w:rsidP="000131EB">
      <w:pPr>
        <w:pStyle w:val="Lijstalinea"/>
        <w:numPr>
          <w:ilvl w:val="0"/>
          <w:numId w:val="11"/>
        </w:numPr>
        <w:spacing w:line="276" w:lineRule="auto"/>
        <w:rPr>
          <w:rFonts w:ascii="Avenir Next LT Pro Light" w:hAnsi="Avenir Next LT Pro Light"/>
        </w:rPr>
      </w:pPr>
      <w:r w:rsidRPr="00A83964">
        <w:rPr>
          <w:rFonts w:ascii="Avenir Next LT Pro Light" w:hAnsi="Avenir Next LT Pro Light"/>
        </w:rPr>
        <w:t>Een vraaggestuurde uitbreiding van het netwerk stelt de aangesloten gemeenten in staat om het netwerk te laten meegroeien met maatschappelijke ontwikkelingen. Het laadpaalnetwerk kan bijvoorbeeld sneller groeien bij economische voorspoed of fiscale stimulering en de groei kan gestopt of vertraagd worden bij economische tegenspoed of in een crisissituatie.</w:t>
      </w:r>
    </w:p>
    <w:p w14:paraId="58420FBB" w14:textId="77777777" w:rsidR="008C60E2" w:rsidRPr="00A83964" w:rsidRDefault="008C60E2" w:rsidP="000131EB">
      <w:pPr>
        <w:pStyle w:val="Lijstalinea"/>
        <w:numPr>
          <w:ilvl w:val="0"/>
          <w:numId w:val="11"/>
        </w:numPr>
        <w:spacing w:line="276" w:lineRule="auto"/>
        <w:rPr>
          <w:rFonts w:ascii="Avenir Next LT Pro Light" w:hAnsi="Avenir Next LT Pro Light"/>
        </w:rPr>
      </w:pPr>
      <w:r w:rsidRPr="00A83964">
        <w:rPr>
          <w:rFonts w:ascii="Avenir Next LT Pro Light" w:hAnsi="Avenir Next LT Pro Light"/>
        </w:rPr>
        <w:t>Als de laadpaal een aanvrager heeft is er meer zekerheid dat de paal goed gebruikt wordt. Dit zorgt voor meer zekerheid voor de laadpaalexploitant. Door deze zekerheden schrijven laadpaalexploitanten gunstig in op de aanbesteding en gaat de prijs per laadpaal naar beneden.</w:t>
      </w:r>
    </w:p>
    <w:p w14:paraId="79625504" w14:textId="77777777" w:rsidR="008C60E2" w:rsidRPr="00A83964" w:rsidRDefault="008C60E2" w:rsidP="000131EB">
      <w:pPr>
        <w:pStyle w:val="Lijstalinea"/>
        <w:numPr>
          <w:ilvl w:val="0"/>
          <w:numId w:val="11"/>
        </w:numPr>
        <w:spacing w:line="276" w:lineRule="auto"/>
        <w:rPr>
          <w:rFonts w:ascii="Avenir Next LT Pro Light" w:hAnsi="Avenir Next LT Pro Light"/>
        </w:rPr>
      </w:pPr>
      <w:r w:rsidRPr="00A83964">
        <w:rPr>
          <w:rFonts w:ascii="Avenir Next LT Pro Light" w:hAnsi="Avenir Next LT Pro Light"/>
        </w:rPr>
        <w:t>Een goed gebruikte laadpaal leidt tot  efficiënt gebruik van de openbare ruimte. Een slecht gebruikte laadpaal is dan ook slecht voor de beeldvorming over elektrisch rijden. Gemeenten zullen in dat geval meer te maken krijgen met omwonenden die klagen over  parkeerdruk en het onnodig reserveren van parkeervakken.</w:t>
      </w:r>
    </w:p>
    <w:p w14:paraId="4C6483B9" w14:textId="77777777" w:rsidR="008C60E2" w:rsidRPr="00A83964" w:rsidRDefault="008C60E2" w:rsidP="000131EB">
      <w:pPr>
        <w:pStyle w:val="Lijstalinea"/>
        <w:numPr>
          <w:ilvl w:val="0"/>
          <w:numId w:val="11"/>
        </w:numPr>
        <w:spacing w:line="276" w:lineRule="auto"/>
        <w:rPr>
          <w:rFonts w:ascii="Avenir Next LT Pro Light" w:hAnsi="Avenir Next LT Pro Light"/>
        </w:rPr>
      </w:pPr>
      <w:r w:rsidRPr="00A83964">
        <w:rPr>
          <w:rFonts w:ascii="Avenir Next LT Pro Light" w:hAnsi="Avenir Next LT Pro Light"/>
        </w:rPr>
        <w:lastRenderedPageBreak/>
        <w:t>Daarnaast is het belangrijk prioriteiten te stellen bij het inzetten van mensen en middelen. Het aantal aanvragen blijft namelijk stijgen en de capaciteit van installatiepersoneel is beperkt. Door eerst de laadpalen te plaatsen waar concrete vraag voor is, zetten we de beschikbare capaciteit effectief in.</w:t>
      </w:r>
    </w:p>
    <w:p w14:paraId="471E210E" w14:textId="77777777" w:rsidR="008C60E2" w:rsidRPr="00A83964" w:rsidRDefault="008C60E2" w:rsidP="000131EB">
      <w:pPr>
        <w:pStyle w:val="Lijstalinea"/>
        <w:numPr>
          <w:ilvl w:val="0"/>
          <w:numId w:val="11"/>
        </w:numPr>
        <w:spacing w:line="276" w:lineRule="auto"/>
        <w:rPr>
          <w:rFonts w:ascii="Avenir Next LT Pro Light" w:hAnsi="Avenir Next LT Pro Light"/>
        </w:rPr>
      </w:pPr>
      <w:r w:rsidRPr="00A83964">
        <w:rPr>
          <w:rFonts w:ascii="Avenir Next LT Pro Light" w:hAnsi="Avenir Next LT Pro Light"/>
        </w:rPr>
        <w:t xml:space="preserve">Een ander voordeel van het vraaggestuurde model is het contact met inwoners. De gemeente houdt namelijk inzicht in alle nieuwe aanvragen voor laadpalen. Op die manier heeft de gemeente gevoel voor de ontwikkelingen binnen de gemeente en kan gemakkelijker inspelen op de behoeften van haar inwoners. </w:t>
      </w:r>
    </w:p>
    <w:p w14:paraId="0F55CB95" w14:textId="1D252A03" w:rsidR="0074097A" w:rsidRDefault="008C60E2" w:rsidP="000131EB">
      <w:pPr>
        <w:spacing w:after="0" w:line="276" w:lineRule="auto"/>
        <w:rPr>
          <w:rFonts w:ascii="Avenir Next LT Pro Light" w:hAnsi="Avenir Next LT Pro Light"/>
        </w:rPr>
      </w:pPr>
      <w:r w:rsidRPr="00A83964">
        <w:rPr>
          <w:rFonts w:ascii="Avenir Next LT Pro Light" w:hAnsi="Avenir Next LT Pro Light"/>
        </w:rPr>
        <w:br/>
      </w:r>
      <w:r w:rsidR="00372318">
        <w:rPr>
          <w:rFonts w:ascii="Avenir Next LT Pro Light" w:hAnsi="Avenir Next LT Pro Light"/>
          <w:b/>
          <w:bCs/>
        </w:rPr>
        <w:t xml:space="preserve">Gebruik van </w:t>
      </w:r>
      <w:r w:rsidR="00797AC4">
        <w:rPr>
          <w:rFonts w:ascii="Avenir Next LT Pro Light" w:hAnsi="Avenir Next LT Pro Light"/>
          <w:b/>
          <w:bCs/>
        </w:rPr>
        <w:t>laadkaarten</w:t>
      </w:r>
      <w:r w:rsidRPr="00A83964">
        <w:rPr>
          <w:rFonts w:ascii="Avenir Next LT Pro Light" w:hAnsi="Avenir Next LT Pro Light"/>
          <w:b/>
          <w:bCs/>
        </w:rPr>
        <w:br/>
      </w:r>
      <w:r w:rsidR="00372318">
        <w:rPr>
          <w:rFonts w:ascii="Avenir Next LT Pro Light" w:hAnsi="Avenir Next LT Pro Light"/>
        </w:rPr>
        <w:t xml:space="preserve">Met </w:t>
      </w:r>
      <w:r w:rsidR="00F40711">
        <w:rPr>
          <w:rFonts w:ascii="Avenir Next LT Pro Light" w:hAnsi="Avenir Next LT Pro Light"/>
        </w:rPr>
        <w:t>laad</w:t>
      </w:r>
      <w:r w:rsidR="00372318">
        <w:rPr>
          <w:rFonts w:ascii="Avenir Next LT Pro Light" w:hAnsi="Avenir Next LT Pro Light"/>
        </w:rPr>
        <w:t>kaarten</w:t>
      </w:r>
      <w:r w:rsidR="007431BE" w:rsidRPr="007431BE">
        <w:rPr>
          <w:rFonts w:ascii="Avenir Next LT Pro Light" w:hAnsi="Avenir Next LT Pro Light"/>
        </w:rPr>
        <w:t xml:space="preserve"> worden periodiek voorkeu</w:t>
      </w:r>
      <w:r w:rsidR="007431BE">
        <w:rPr>
          <w:rFonts w:ascii="Avenir Next LT Pro Light" w:hAnsi="Avenir Next LT Pro Light"/>
        </w:rPr>
        <w:t>r</w:t>
      </w:r>
      <w:r w:rsidR="007431BE" w:rsidRPr="007431BE">
        <w:rPr>
          <w:rFonts w:ascii="Avenir Next LT Pro Light" w:hAnsi="Avenir Next LT Pro Light"/>
        </w:rPr>
        <w:t xml:space="preserve">slocaties gekozen </w:t>
      </w:r>
      <w:r w:rsidR="007431BE">
        <w:rPr>
          <w:rFonts w:ascii="Avenir Next LT Pro Light" w:hAnsi="Avenir Next LT Pro Light"/>
        </w:rPr>
        <w:t>b</w:t>
      </w:r>
      <w:r w:rsidR="007431BE" w:rsidRPr="007431BE">
        <w:rPr>
          <w:rFonts w:ascii="Avenir Next LT Pro Light" w:hAnsi="Avenir Next LT Pro Light"/>
        </w:rPr>
        <w:t>in</w:t>
      </w:r>
      <w:r w:rsidR="007431BE">
        <w:rPr>
          <w:rFonts w:ascii="Avenir Next LT Pro Light" w:hAnsi="Avenir Next LT Pro Light"/>
        </w:rPr>
        <w:t xml:space="preserve">nen een </w:t>
      </w:r>
      <w:r w:rsidR="007431BE" w:rsidRPr="007431BE">
        <w:rPr>
          <w:rFonts w:ascii="Avenir Next LT Pro Light" w:hAnsi="Avenir Next LT Pro Light"/>
        </w:rPr>
        <w:t>gemeente. Zodra er een aanleiding is het lokale laadnetwerk uit te breiden wordt de dichtstbijzijnde voorkeurslocatie gerealiseerd.</w:t>
      </w:r>
      <w:r w:rsidR="006302B6">
        <w:rPr>
          <w:rFonts w:ascii="Avenir Next LT Pro Light" w:hAnsi="Avenir Next LT Pro Light"/>
        </w:rPr>
        <w:t xml:space="preserve"> </w:t>
      </w:r>
      <w:r w:rsidR="006302B6" w:rsidRPr="007431BE">
        <w:rPr>
          <w:rFonts w:ascii="Avenir Next LT Pro Light" w:hAnsi="Avenir Next LT Pro Light"/>
        </w:rPr>
        <w:t xml:space="preserve">Als de locaties in een gemeente al bepaald zijn en de bijbehorende verkeersbesluiten en graafvergunningen </w:t>
      </w:r>
      <w:r w:rsidR="005348C1">
        <w:rPr>
          <w:rFonts w:ascii="Avenir Next LT Pro Light" w:hAnsi="Avenir Next LT Pro Light"/>
        </w:rPr>
        <w:t>zijn opgesteld</w:t>
      </w:r>
      <w:r w:rsidR="006302B6" w:rsidRPr="007431BE">
        <w:rPr>
          <w:rFonts w:ascii="Avenir Next LT Pro Light" w:hAnsi="Avenir Next LT Pro Light"/>
        </w:rPr>
        <w:t xml:space="preserve"> kan </w:t>
      </w:r>
      <w:r w:rsidR="005348C1">
        <w:rPr>
          <w:rFonts w:ascii="Avenir Next LT Pro Light" w:hAnsi="Avenir Next LT Pro Light"/>
        </w:rPr>
        <w:t xml:space="preserve">zonder vertraging </w:t>
      </w:r>
      <w:r w:rsidR="006302B6" w:rsidRPr="007431BE">
        <w:rPr>
          <w:rFonts w:ascii="Avenir Next LT Pro Light" w:hAnsi="Avenir Next LT Pro Light"/>
        </w:rPr>
        <w:t>tot plaatsing over worden gegaan.</w:t>
      </w:r>
      <w:r w:rsidR="006302B6" w:rsidRPr="00A83964">
        <w:rPr>
          <w:rFonts w:ascii="Avenir Next LT Pro Light" w:hAnsi="Avenir Next LT Pro Light"/>
        </w:rPr>
        <w:t xml:space="preserve"> </w:t>
      </w:r>
    </w:p>
    <w:p w14:paraId="7FD27D99" w14:textId="77777777" w:rsidR="0074097A" w:rsidRDefault="0074097A" w:rsidP="000131EB">
      <w:pPr>
        <w:spacing w:after="0" w:line="276" w:lineRule="auto"/>
        <w:rPr>
          <w:rFonts w:ascii="Avenir Next LT Pro Light" w:hAnsi="Avenir Next LT Pro Light"/>
        </w:rPr>
      </w:pPr>
    </w:p>
    <w:p w14:paraId="23F6317C" w14:textId="5B297471" w:rsidR="0074097A" w:rsidRPr="0049430E" w:rsidRDefault="005348C1" w:rsidP="000131EB">
      <w:pPr>
        <w:spacing w:line="276" w:lineRule="auto"/>
        <w:rPr>
          <w:rFonts w:ascii="Avenir Next LT Pro Light" w:hAnsi="Avenir Next LT Pro Light"/>
          <w:i/>
          <w:iCs/>
        </w:rPr>
      </w:pPr>
      <w:r w:rsidRPr="005348C1">
        <w:rPr>
          <w:rFonts w:ascii="Avenir Next LT Pro Light" w:hAnsi="Avenir Next LT Pro Light"/>
          <w:i/>
          <w:iCs/>
        </w:rPr>
        <w:t>1. Inschatting van de behoefte</w:t>
      </w:r>
      <w:r w:rsidR="0049430E">
        <w:rPr>
          <w:rFonts w:ascii="Avenir Next LT Pro Light" w:hAnsi="Avenir Next LT Pro Light"/>
          <w:i/>
          <w:iCs/>
        </w:rPr>
        <w:br/>
      </w:r>
      <w:r w:rsidR="008C60E2" w:rsidRPr="00A83964">
        <w:rPr>
          <w:rFonts w:ascii="Avenir Next LT Pro Light" w:hAnsi="Avenir Next LT Pro Light"/>
        </w:rPr>
        <w:t xml:space="preserve">Steeds meer gemeenten die zijn aangesloten bij MRA-Elektrisch gaan </w:t>
      </w:r>
      <w:r w:rsidR="007431BE">
        <w:rPr>
          <w:rFonts w:ascii="Avenir Next LT Pro Light" w:hAnsi="Avenir Next LT Pro Light"/>
        </w:rPr>
        <w:t xml:space="preserve">aan de hand van voorkeurslocaties en plankaarten aan de slag met een proactieve aanpak. </w:t>
      </w:r>
      <w:r w:rsidR="008C60E2" w:rsidRPr="00A83964">
        <w:rPr>
          <w:rFonts w:ascii="Avenir Next LT Pro Light" w:hAnsi="Avenir Next LT Pro Light"/>
        </w:rPr>
        <w:t xml:space="preserve">Zij schatten in waar in de nabije toekomst behoefte aan laadpalen zal zijn, en wijzen daar alvast geschikte locaties voor aan. </w:t>
      </w:r>
      <w:r w:rsidR="00F40711">
        <w:rPr>
          <w:rFonts w:ascii="Avenir Next LT Pro Light" w:hAnsi="Avenir Next LT Pro Light"/>
        </w:rPr>
        <w:t>Laadkaarten gaan op dit moment met name nog over voorkeurslocaties voor publieke laadpalen</w:t>
      </w:r>
      <w:r>
        <w:rPr>
          <w:rFonts w:ascii="Avenir Next LT Pro Light" w:hAnsi="Avenir Next LT Pro Light"/>
        </w:rPr>
        <w:t xml:space="preserve">, maar de </w:t>
      </w:r>
      <w:r w:rsidR="00F40711">
        <w:rPr>
          <w:rFonts w:ascii="Avenir Next LT Pro Light" w:hAnsi="Avenir Next LT Pro Light"/>
        </w:rPr>
        <w:t>plankaarten</w:t>
      </w:r>
      <w:r>
        <w:rPr>
          <w:rFonts w:ascii="Avenir Next LT Pro Light" w:hAnsi="Avenir Next LT Pro Light"/>
        </w:rPr>
        <w:t xml:space="preserve"> worden</w:t>
      </w:r>
      <w:r w:rsidR="00F40711">
        <w:rPr>
          <w:rFonts w:ascii="Avenir Next LT Pro Light" w:hAnsi="Avenir Next LT Pro Light"/>
        </w:rPr>
        <w:t xml:space="preserve"> doorontwikkeld om oo</w:t>
      </w:r>
      <w:r>
        <w:rPr>
          <w:rFonts w:ascii="Avenir Next LT Pro Light" w:hAnsi="Avenir Next LT Pro Light"/>
        </w:rPr>
        <w:t xml:space="preserve">k </w:t>
      </w:r>
      <w:r w:rsidR="003A249D">
        <w:rPr>
          <w:rFonts w:ascii="Avenir Next LT Pro Light" w:hAnsi="Avenir Next LT Pro Light"/>
        </w:rPr>
        <w:t>locaties</w:t>
      </w:r>
      <w:r>
        <w:rPr>
          <w:rFonts w:ascii="Avenir Next LT Pro Light" w:hAnsi="Avenir Next LT Pro Light"/>
        </w:rPr>
        <w:t xml:space="preserve"> </w:t>
      </w:r>
      <w:r w:rsidR="003A249D">
        <w:rPr>
          <w:rFonts w:ascii="Avenir Next LT Pro Light" w:hAnsi="Avenir Next LT Pro Light"/>
        </w:rPr>
        <w:t>voor</w:t>
      </w:r>
      <w:r>
        <w:rPr>
          <w:rFonts w:ascii="Avenir Next LT Pro Light" w:hAnsi="Avenir Next LT Pro Light"/>
        </w:rPr>
        <w:t xml:space="preserve"> andere laadoplossingen</w:t>
      </w:r>
      <w:r w:rsidR="00F40711">
        <w:rPr>
          <w:rFonts w:ascii="Avenir Next LT Pro Light" w:hAnsi="Avenir Next LT Pro Light"/>
        </w:rPr>
        <w:t xml:space="preserve"> aan te wijzen. </w:t>
      </w:r>
      <w:r>
        <w:rPr>
          <w:rFonts w:ascii="Avenir Next LT Pro Light" w:hAnsi="Avenir Next LT Pro Light"/>
        </w:rPr>
        <w:t xml:space="preserve">Daarbij kan onder andere worden gedacht aan het aan wijzen van </w:t>
      </w:r>
      <w:r w:rsidR="003A249D">
        <w:rPr>
          <w:rFonts w:ascii="Avenir Next LT Pro Light" w:hAnsi="Avenir Next LT Pro Light"/>
        </w:rPr>
        <w:t>locaties</w:t>
      </w:r>
      <w:r>
        <w:rPr>
          <w:rFonts w:ascii="Avenir Next LT Pro Light" w:hAnsi="Avenir Next LT Pro Light"/>
        </w:rPr>
        <w:t xml:space="preserve"> voor snelladen of</w:t>
      </w:r>
      <w:r w:rsidR="00F40711">
        <w:rPr>
          <w:rFonts w:ascii="Avenir Next LT Pro Light" w:hAnsi="Avenir Next LT Pro Light"/>
        </w:rPr>
        <w:t xml:space="preserve"> </w:t>
      </w:r>
      <w:r>
        <w:rPr>
          <w:rFonts w:ascii="Avenir Next LT Pro Light" w:hAnsi="Avenir Next LT Pro Light"/>
        </w:rPr>
        <w:t xml:space="preserve">aan </w:t>
      </w:r>
      <w:r w:rsidR="003A249D">
        <w:rPr>
          <w:rFonts w:ascii="Avenir Next LT Pro Light" w:hAnsi="Avenir Next LT Pro Light"/>
        </w:rPr>
        <w:t>locaties</w:t>
      </w:r>
      <w:r>
        <w:rPr>
          <w:rFonts w:ascii="Avenir Next LT Pro Light" w:hAnsi="Avenir Next LT Pro Light"/>
        </w:rPr>
        <w:t xml:space="preserve"> voor </w:t>
      </w:r>
      <w:r w:rsidR="00F40711">
        <w:rPr>
          <w:rFonts w:ascii="Avenir Next LT Pro Light" w:hAnsi="Avenir Next LT Pro Light"/>
        </w:rPr>
        <w:t>grote hubs van laadpalen voor logistiek of openbaar vervoer</w:t>
      </w:r>
      <w:r>
        <w:rPr>
          <w:rFonts w:ascii="Avenir Next LT Pro Light" w:hAnsi="Avenir Next LT Pro Light"/>
        </w:rPr>
        <w:t>.</w:t>
      </w:r>
    </w:p>
    <w:p w14:paraId="5AC6D6E3" w14:textId="7E942F10" w:rsidR="005348C1" w:rsidRDefault="005348C1" w:rsidP="000131EB">
      <w:pPr>
        <w:spacing w:after="0" w:line="276" w:lineRule="auto"/>
        <w:rPr>
          <w:rFonts w:ascii="Avenir Next LT Pro Light" w:hAnsi="Avenir Next LT Pro Light"/>
        </w:rPr>
      </w:pPr>
    </w:p>
    <w:p w14:paraId="15DE70C7" w14:textId="03600D57" w:rsidR="005348C1" w:rsidRPr="005348C1" w:rsidRDefault="005348C1" w:rsidP="000131EB">
      <w:pPr>
        <w:spacing w:after="0" w:line="276" w:lineRule="auto"/>
        <w:rPr>
          <w:rFonts w:ascii="Avenir Next LT Pro Light" w:hAnsi="Avenir Next LT Pro Light"/>
          <w:i/>
          <w:iCs/>
        </w:rPr>
      </w:pPr>
      <w:r>
        <w:rPr>
          <w:rFonts w:ascii="Avenir Next LT Pro Light" w:hAnsi="Avenir Next LT Pro Light"/>
          <w:i/>
          <w:iCs/>
        </w:rPr>
        <w:t>2. Faciliteren participatie en inspraak</w:t>
      </w:r>
    </w:p>
    <w:p w14:paraId="2FCFF9EC" w14:textId="68CEA618" w:rsidR="0074097A" w:rsidRDefault="00F40711" w:rsidP="000131EB">
      <w:pPr>
        <w:spacing w:after="0" w:line="276" w:lineRule="auto"/>
        <w:rPr>
          <w:rFonts w:ascii="Avenir Next LT Pro Light" w:hAnsi="Avenir Next LT Pro Light"/>
        </w:rPr>
      </w:pPr>
      <w:r>
        <w:rPr>
          <w:rFonts w:ascii="Avenir Next LT Pro Light" w:hAnsi="Avenir Next LT Pro Light"/>
        </w:rPr>
        <w:t>D</w:t>
      </w:r>
      <w:r w:rsidR="006302B6">
        <w:rPr>
          <w:rFonts w:ascii="Avenir Next LT Pro Light" w:hAnsi="Avenir Next LT Pro Light"/>
        </w:rPr>
        <w:t>oor deze werkwijze</w:t>
      </w:r>
      <w:r w:rsidR="0074097A" w:rsidRPr="0074097A">
        <w:rPr>
          <w:rFonts w:ascii="Avenir Next LT Pro Light" w:hAnsi="Avenir Next LT Pro Light"/>
        </w:rPr>
        <w:t xml:space="preserve"> is participatie en inspraak vooraf efficiënter te organiseren en </w:t>
      </w:r>
      <w:r w:rsidR="008C60E2" w:rsidRPr="00A83964">
        <w:rPr>
          <w:rFonts w:ascii="Avenir Next LT Pro Light" w:hAnsi="Avenir Next LT Pro Light"/>
        </w:rPr>
        <w:t>weten inwoners en belanghebbenden vooraf op welke locaties de gemeente laadpalen wil realiseren. Dit kan gemeenten helpen om voorbereid te zijn op een toekomst met veel laadpaalverzoeken en geeft (</w:t>
      </w:r>
      <w:r w:rsidR="00F1193C" w:rsidRPr="00A83964">
        <w:rPr>
          <w:rFonts w:ascii="Avenir Next LT Pro Light" w:hAnsi="Avenir Next LT Pro Light"/>
        </w:rPr>
        <w:t>potentiële</w:t>
      </w:r>
      <w:r w:rsidR="008C60E2" w:rsidRPr="00A83964">
        <w:rPr>
          <w:rFonts w:ascii="Avenir Next LT Pro Light" w:hAnsi="Avenir Next LT Pro Light"/>
        </w:rPr>
        <w:t xml:space="preserve">) e-rijders vertrouwen dat er actief beleid is. </w:t>
      </w:r>
    </w:p>
    <w:p w14:paraId="7C024256" w14:textId="77777777" w:rsidR="0074097A" w:rsidRDefault="0074097A" w:rsidP="000131EB">
      <w:pPr>
        <w:spacing w:after="0" w:line="276" w:lineRule="auto"/>
        <w:rPr>
          <w:rFonts w:ascii="Avenir Next LT Pro Light" w:hAnsi="Avenir Next LT Pro Light"/>
        </w:rPr>
      </w:pPr>
    </w:p>
    <w:p w14:paraId="0AF338DA" w14:textId="676693AB" w:rsidR="005348C1" w:rsidRPr="005348C1" w:rsidRDefault="005348C1" w:rsidP="000131EB">
      <w:pPr>
        <w:spacing w:after="0" w:line="276" w:lineRule="auto"/>
        <w:rPr>
          <w:rFonts w:ascii="Avenir Next LT Pro Light" w:hAnsi="Avenir Next LT Pro Light"/>
          <w:i/>
          <w:iCs/>
        </w:rPr>
      </w:pPr>
      <w:r>
        <w:rPr>
          <w:rFonts w:ascii="Avenir Next LT Pro Light" w:hAnsi="Avenir Next LT Pro Light"/>
          <w:i/>
          <w:iCs/>
        </w:rPr>
        <w:t>3. Aanpassen elektriciteitsnet</w:t>
      </w:r>
    </w:p>
    <w:p w14:paraId="5B80C96A" w14:textId="28A8DBCF" w:rsidR="001C40D4" w:rsidRPr="001C40D4" w:rsidRDefault="00C705BC" w:rsidP="000131EB">
      <w:pPr>
        <w:spacing w:after="0" w:line="276" w:lineRule="auto"/>
        <w:rPr>
          <w:rFonts w:ascii="Avenir Next LT Pro Light" w:hAnsi="Avenir Next LT Pro Light"/>
        </w:rPr>
      </w:pPr>
      <w:r>
        <w:rPr>
          <w:rFonts w:ascii="Avenir Next LT Pro Light" w:hAnsi="Avenir Next LT Pro Light"/>
        </w:rPr>
        <w:t>Daarnaast geeft het de lokale netbeheerder inzicht in de benodigde</w:t>
      </w:r>
      <w:r w:rsidR="005348C1">
        <w:rPr>
          <w:rFonts w:ascii="Avenir Next LT Pro Light" w:hAnsi="Avenir Next LT Pro Light"/>
        </w:rPr>
        <w:t xml:space="preserve"> infrastructuur voor de </w:t>
      </w:r>
      <w:r>
        <w:rPr>
          <w:rFonts w:ascii="Avenir Next LT Pro Light" w:hAnsi="Avenir Next LT Pro Light"/>
        </w:rPr>
        <w:t>elektri</w:t>
      </w:r>
      <w:r w:rsidR="005348C1">
        <w:rPr>
          <w:rFonts w:ascii="Avenir Next LT Pro Light" w:hAnsi="Avenir Next LT Pro Light"/>
        </w:rPr>
        <w:t>sche aansluiting.</w:t>
      </w:r>
      <w:r>
        <w:rPr>
          <w:rFonts w:ascii="Avenir Next LT Pro Light" w:hAnsi="Avenir Next LT Pro Light"/>
        </w:rPr>
        <w:t xml:space="preserve"> </w:t>
      </w:r>
      <w:r w:rsidR="005348C1">
        <w:rPr>
          <w:rFonts w:ascii="Avenir Next LT Pro Light" w:hAnsi="Avenir Next LT Pro Light"/>
        </w:rPr>
        <w:t>Op die manier</w:t>
      </w:r>
      <w:r>
        <w:rPr>
          <w:rFonts w:ascii="Avenir Next LT Pro Light" w:hAnsi="Avenir Next LT Pro Light"/>
        </w:rPr>
        <w:t xml:space="preserve"> kan de netbeheerder</w:t>
      </w:r>
      <w:r w:rsidR="005348C1">
        <w:rPr>
          <w:rFonts w:ascii="Avenir Next LT Pro Light" w:hAnsi="Avenir Next LT Pro Light"/>
        </w:rPr>
        <w:t xml:space="preserve"> tijdig</w:t>
      </w:r>
      <w:r>
        <w:rPr>
          <w:rFonts w:ascii="Avenir Next LT Pro Light" w:hAnsi="Avenir Next LT Pro Light"/>
        </w:rPr>
        <w:t xml:space="preserve"> inventariseren wat nodig is om de inpasbaarheid in de elektriciteitsinfrastructuur te borgen. </w:t>
      </w:r>
      <w:r w:rsidR="007431BE">
        <w:rPr>
          <w:rFonts w:ascii="Avenir Next LT Pro Light" w:hAnsi="Avenir Next LT Pro Light"/>
        </w:rPr>
        <w:br/>
      </w:r>
      <w:r w:rsidR="007431BE">
        <w:rPr>
          <w:rFonts w:ascii="Avenir Next LT Pro Light" w:hAnsi="Avenir Next LT Pro Light"/>
        </w:rPr>
        <w:br/>
      </w:r>
      <w:r w:rsidR="0092235E">
        <w:rPr>
          <w:rFonts w:ascii="Avenir Next LT Pro Light" w:hAnsi="Avenir Next LT Pro Light"/>
        </w:rPr>
        <w:t>Wanneer</w:t>
      </w:r>
      <w:r w:rsidR="007431BE">
        <w:rPr>
          <w:rFonts w:ascii="Avenir Next LT Pro Light" w:hAnsi="Avenir Next LT Pro Light"/>
        </w:rPr>
        <w:t xml:space="preserve"> een proactieve aanpak wordt gehanteerd moet wel </w:t>
      </w:r>
      <w:r w:rsidR="008C60E2" w:rsidRPr="00A83964">
        <w:rPr>
          <w:rFonts w:ascii="Avenir Next LT Pro Light" w:hAnsi="Avenir Next LT Pro Light"/>
        </w:rPr>
        <w:t>enige flexibiliteit blijven bestaan: de verzoeken van inwoners of bedrijven vallen toch net op andere plekken dan verwacht, de inrichting van de openbare ruimte</w:t>
      </w:r>
      <w:r w:rsidR="0092235E">
        <w:rPr>
          <w:rFonts w:ascii="Avenir Next LT Pro Light" w:hAnsi="Avenir Next LT Pro Light"/>
        </w:rPr>
        <w:t xml:space="preserve"> wijzigt</w:t>
      </w:r>
      <w:r w:rsidR="005348C1">
        <w:rPr>
          <w:rFonts w:ascii="Avenir Next LT Pro Light" w:hAnsi="Avenir Next LT Pro Light"/>
        </w:rPr>
        <w:t xml:space="preserve"> </w:t>
      </w:r>
      <w:r w:rsidR="008C60E2" w:rsidRPr="00A83964">
        <w:rPr>
          <w:rFonts w:ascii="Avenir Next LT Pro Light" w:hAnsi="Avenir Next LT Pro Light"/>
        </w:rPr>
        <w:t xml:space="preserve">of locatiecriteria </w:t>
      </w:r>
      <w:r w:rsidR="0092235E">
        <w:rPr>
          <w:rFonts w:ascii="Avenir Next LT Pro Light" w:hAnsi="Avenir Next LT Pro Light"/>
        </w:rPr>
        <w:t>zijn aan verandering onderhevig</w:t>
      </w:r>
      <w:r w:rsidR="008C60E2" w:rsidRPr="00A83964">
        <w:rPr>
          <w:rFonts w:ascii="Avenir Next LT Pro Light" w:hAnsi="Avenir Next LT Pro Light"/>
        </w:rPr>
        <w:t xml:space="preserve">. Ook kunnen bewoners die op het moment van het verkeersbesluit nog ergens anders woonden zich bij de realisatie van de laadpaal alsnog met klachten melden omdat zij (jaren terug) geen kans hebben gehad om bezwaar in te dienen. </w:t>
      </w:r>
    </w:p>
    <w:tbl>
      <w:tblPr>
        <w:tblStyle w:val="Tabelraster"/>
        <w:tblpPr w:leftFromText="141" w:rightFromText="141" w:vertAnchor="text" w:horzAnchor="margin" w:tblpY="247"/>
        <w:tblW w:w="8505" w:type="dxa"/>
        <w:tblLook w:val="04A0" w:firstRow="1" w:lastRow="0" w:firstColumn="1" w:lastColumn="0" w:noHBand="0" w:noVBand="1"/>
      </w:tblPr>
      <w:tblGrid>
        <w:gridCol w:w="4253"/>
        <w:gridCol w:w="4252"/>
      </w:tblGrid>
      <w:tr w:rsidR="007431BE" w14:paraId="5673B0C1" w14:textId="77777777" w:rsidTr="00FC3CDF">
        <w:tc>
          <w:tcPr>
            <w:tcW w:w="4253" w:type="dxa"/>
            <w:shd w:val="clear" w:color="auto" w:fill="D9D9D9" w:themeFill="background1" w:themeFillShade="D9"/>
          </w:tcPr>
          <w:p w14:paraId="76BBD580" w14:textId="77777777" w:rsidR="007431BE" w:rsidRPr="0099478E" w:rsidRDefault="007431BE" w:rsidP="000131EB">
            <w:pPr>
              <w:spacing w:line="276" w:lineRule="auto"/>
              <w:jc w:val="center"/>
              <w:rPr>
                <w:rFonts w:ascii="Avenir Next LT Pro Light" w:hAnsi="Avenir Next LT Pro Light"/>
                <w:b/>
                <w:bCs/>
              </w:rPr>
            </w:pPr>
            <w:r w:rsidRPr="0099478E">
              <w:rPr>
                <w:rFonts w:ascii="Avenir Next LT Pro Light" w:hAnsi="Avenir Next LT Pro Light"/>
                <w:b/>
                <w:bCs/>
              </w:rPr>
              <w:t>Afhandeling per individuele aanvraag</w:t>
            </w:r>
          </w:p>
          <w:p w14:paraId="1EFA8238" w14:textId="77777777" w:rsidR="007431BE" w:rsidRPr="0099478E" w:rsidRDefault="007431BE" w:rsidP="000131EB">
            <w:pPr>
              <w:spacing w:line="276" w:lineRule="auto"/>
              <w:jc w:val="center"/>
              <w:rPr>
                <w:rFonts w:ascii="Avenir Next LT Pro Light" w:hAnsi="Avenir Next LT Pro Light"/>
                <w:b/>
                <w:bCs/>
              </w:rPr>
            </w:pPr>
          </w:p>
        </w:tc>
        <w:tc>
          <w:tcPr>
            <w:tcW w:w="4252" w:type="dxa"/>
            <w:shd w:val="clear" w:color="auto" w:fill="D9D9D9" w:themeFill="background1" w:themeFillShade="D9"/>
          </w:tcPr>
          <w:p w14:paraId="0B62556B" w14:textId="77777777" w:rsidR="007431BE" w:rsidRPr="0099478E" w:rsidRDefault="007431BE" w:rsidP="000131EB">
            <w:pPr>
              <w:spacing w:line="276" w:lineRule="auto"/>
              <w:jc w:val="center"/>
              <w:rPr>
                <w:rFonts w:ascii="Avenir Next LT Pro Light" w:hAnsi="Avenir Next LT Pro Light"/>
                <w:b/>
                <w:bCs/>
              </w:rPr>
            </w:pPr>
            <w:r w:rsidRPr="0099478E">
              <w:rPr>
                <w:rFonts w:ascii="Avenir Next LT Pro Light" w:hAnsi="Avenir Next LT Pro Light"/>
                <w:b/>
                <w:bCs/>
              </w:rPr>
              <w:t>Plankaarten en voorkeurslocaties</w:t>
            </w:r>
          </w:p>
        </w:tc>
      </w:tr>
      <w:tr w:rsidR="007431BE" w14:paraId="7A714F08" w14:textId="77777777" w:rsidTr="00FC3CDF">
        <w:tc>
          <w:tcPr>
            <w:tcW w:w="4253" w:type="dxa"/>
          </w:tcPr>
          <w:p w14:paraId="2F50AF83" w14:textId="77777777" w:rsidR="007431BE" w:rsidRPr="0099478E" w:rsidRDefault="007431BE" w:rsidP="000131EB">
            <w:pPr>
              <w:spacing w:line="276" w:lineRule="auto"/>
              <w:rPr>
                <w:rFonts w:ascii="Avenir Next LT Pro Light" w:hAnsi="Avenir Next LT Pro Light"/>
              </w:rPr>
            </w:pPr>
            <w:r w:rsidRPr="0099478E">
              <w:rPr>
                <w:rFonts w:ascii="Avenir Next LT Pro Light" w:hAnsi="Avenir Next LT Pro Light"/>
                <w:b/>
                <w:bCs/>
                <w:color w:val="538135" w:themeColor="accent6" w:themeShade="BF"/>
                <w:sz w:val="32"/>
                <w:szCs w:val="36"/>
              </w:rPr>
              <w:lastRenderedPageBreak/>
              <w:t>+</w:t>
            </w:r>
            <w:r w:rsidRPr="0099478E">
              <w:rPr>
                <w:rFonts w:ascii="Avenir Next LT Pro Light" w:hAnsi="Avenir Next LT Pro Light"/>
              </w:rPr>
              <w:t xml:space="preserve"> Locatievoorstel gebaseerd op de actuele situatie </w:t>
            </w:r>
          </w:p>
          <w:p w14:paraId="4569EE6F" w14:textId="083ABB64" w:rsidR="007431BE" w:rsidRPr="0099478E" w:rsidRDefault="007431BE" w:rsidP="000131EB">
            <w:pPr>
              <w:spacing w:line="276" w:lineRule="auto"/>
              <w:rPr>
                <w:rFonts w:ascii="Avenir Next LT Pro Light" w:hAnsi="Avenir Next LT Pro Light"/>
              </w:rPr>
            </w:pPr>
            <w:r w:rsidRPr="0099478E">
              <w:rPr>
                <w:rFonts w:ascii="Avenir Next LT Pro Light" w:hAnsi="Avenir Next LT Pro Light"/>
                <w:b/>
                <w:bCs/>
                <w:color w:val="538135" w:themeColor="accent6" w:themeShade="BF"/>
                <w:sz w:val="32"/>
                <w:szCs w:val="36"/>
              </w:rPr>
              <w:t>+</w:t>
            </w:r>
            <w:r w:rsidRPr="0099478E">
              <w:rPr>
                <w:rFonts w:ascii="Avenir Next LT Pro Light" w:hAnsi="Avenir Next LT Pro Light"/>
              </w:rPr>
              <w:t xml:space="preserve"> Inspraak door </w:t>
            </w:r>
            <w:r w:rsidR="003C64FA">
              <w:rPr>
                <w:rFonts w:ascii="Avenir Next LT Pro Light" w:hAnsi="Avenir Next LT Pro Light"/>
              </w:rPr>
              <w:t>inwoners</w:t>
            </w:r>
            <w:r w:rsidR="003C64FA" w:rsidRPr="0099478E">
              <w:rPr>
                <w:rFonts w:ascii="Avenir Next LT Pro Light" w:hAnsi="Avenir Next LT Pro Light"/>
              </w:rPr>
              <w:t xml:space="preserve"> </w:t>
            </w:r>
            <w:r w:rsidRPr="0099478E">
              <w:rPr>
                <w:rFonts w:ascii="Avenir Next LT Pro Light" w:hAnsi="Avenir Next LT Pro Light"/>
              </w:rPr>
              <w:t>die er op dat moment wonen</w:t>
            </w:r>
            <w:r w:rsidRPr="0099478E">
              <w:rPr>
                <w:rFonts w:ascii="Avenir Next LT Pro Light" w:hAnsi="Avenir Next LT Pro Light"/>
              </w:rPr>
              <w:br/>
            </w:r>
          </w:p>
          <w:p w14:paraId="0BECFADC" w14:textId="77777777" w:rsidR="007431BE" w:rsidRPr="0099478E" w:rsidRDefault="007431BE" w:rsidP="000131EB">
            <w:pPr>
              <w:spacing w:line="276" w:lineRule="auto"/>
              <w:rPr>
                <w:rFonts w:ascii="Avenir Next LT Pro Light" w:hAnsi="Avenir Next LT Pro Light"/>
              </w:rPr>
            </w:pPr>
          </w:p>
        </w:tc>
        <w:tc>
          <w:tcPr>
            <w:tcW w:w="4252" w:type="dxa"/>
          </w:tcPr>
          <w:p w14:paraId="1D6077EE" w14:textId="77777777" w:rsidR="007431BE" w:rsidRPr="0099478E" w:rsidRDefault="007431BE" w:rsidP="000131EB">
            <w:pPr>
              <w:spacing w:line="276" w:lineRule="auto"/>
              <w:rPr>
                <w:rFonts w:ascii="Avenir Next LT Pro Light" w:hAnsi="Avenir Next LT Pro Light"/>
              </w:rPr>
            </w:pPr>
            <w:r w:rsidRPr="0099478E">
              <w:rPr>
                <w:rFonts w:ascii="Avenir Next LT Pro Light" w:hAnsi="Avenir Next LT Pro Light"/>
                <w:b/>
                <w:bCs/>
                <w:color w:val="538135" w:themeColor="accent6" w:themeShade="BF"/>
                <w:sz w:val="32"/>
                <w:szCs w:val="36"/>
              </w:rPr>
              <w:t>+</w:t>
            </w:r>
            <w:r w:rsidRPr="0099478E">
              <w:rPr>
                <w:rFonts w:ascii="Avenir Next LT Pro Light" w:hAnsi="Avenir Next LT Pro Light"/>
              </w:rPr>
              <w:t xml:space="preserve"> Efficiëntie door werkzaamheden te centreren</w:t>
            </w:r>
          </w:p>
          <w:p w14:paraId="18E5AD2C" w14:textId="088ACF52" w:rsidR="007431BE" w:rsidRPr="0099478E" w:rsidRDefault="007431BE" w:rsidP="000131EB">
            <w:pPr>
              <w:spacing w:line="276" w:lineRule="auto"/>
              <w:rPr>
                <w:rFonts w:ascii="Avenir Next LT Pro Light" w:hAnsi="Avenir Next LT Pro Light"/>
              </w:rPr>
            </w:pPr>
            <w:r w:rsidRPr="0099478E">
              <w:rPr>
                <w:rFonts w:ascii="Avenir Next LT Pro Light" w:hAnsi="Avenir Next LT Pro Light"/>
                <w:b/>
                <w:bCs/>
                <w:color w:val="538135" w:themeColor="accent6" w:themeShade="BF"/>
                <w:sz w:val="32"/>
                <w:szCs w:val="36"/>
              </w:rPr>
              <w:t>+</w:t>
            </w:r>
            <w:r w:rsidRPr="0099478E">
              <w:rPr>
                <w:rFonts w:ascii="Avenir Next LT Pro Light" w:hAnsi="Avenir Next LT Pro Light"/>
              </w:rPr>
              <w:t xml:space="preserve"> Versnelling van het </w:t>
            </w:r>
            <w:r w:rsidR="003C64FA">
              <w:rPr>
                <w:rFonts w:ascii="Avenir Next LT Pro Light" w:hAnsi="Avenir Next LT Pro Light"/>
              </w:rPr>
              <w:t>plaatsings</w:t>
            </w:r>
            <w:r w:rsidRPr="0099478E">
              <w:rPr>
                <w:rFonts w:ascii="Avenir Next LT Pro Light" w:hAnsi="Avenir Next LT Pro Light"/>
              </w:rPr>
              <w:t>proces</w:t>
            </w:r>
          </w:p>
          <w:p w14:paraId="3E311DF1" w14:textId="5033B07C" w:rsidR="007431BE" w:rsidRPr="0099478E" w:rsidRDefault="007431BE" w:rsidP="000131EB">
            <w:pPr>
              <w:spacing w:line="276" w:lineRule="auto"/>
              <w:rPr>
                <w:rFonts w:ascii="Avenir Next LT Pro Light" w:hAnsi="Avenir Next LT Pro Light"/>
              </w:rPr>
            </w:pPr>
            <w:r w:rsidRPr="0099478E">
              <w:rPr>
                <w:rFonts w:ascii="Avenir Next LT Pro Light" w:hAnsi="Avenir Next LT Pro Light"/>
                <w:b/>
                <w:bCs/>
                <w:color w:val="538135" w:themeColor="accent6" w:themeShade="BF"/>
                <w:sz w:val="32"/>
                <w:szCs w:val="36"/>
              </w:rPr>
              <w:t>+</w:t>
            </w:r>
            <w:r w:rsidRPr="0099478E">
              <w:rPr>
                <w:rFonts w:ascii="Avenir Next LT Pro Light" w:hAnsi="Avenir Next LT Pro Light"/>
              </w:rPr>
              <w:t xml:space="preserve"> Werklast op één moment, hierdoor makkelijker uit te besteden</w:t>
            </w:r>
          </w:p>
          <w:p w14:paraId="7D567FC9" w14:textId="77777777" w:rsidR="007431BE" w:rsidRPr="0099478E" w:rsidRDefault="007431BE" w:rsidP="000131EB">
            <w:pPr>
              <w:spacing w:line="276" w:lineRule="auto"/>
              <w:rPr>
                <w:rFonts w:ascii="Avenir Next LT Pro Light" w:hAnsi="Avenir Next LT Pro Light"/>
              </w:rPr>
            </w:pPr>
          </w:p>
        </w:tc>
      </w:tr>
      <w:tr w:rsidR="007431BE" w14:paraId="465F34A1" w14:textId="77777777" w:rsidTr="00FC3CDF">
        <w:tc>
          <w:tcPr>
            <w:tcW w:w="4253" w:type="dxa"/>
          </w:tcPr>
          <w:p w14:paraId="67F1E069" w14:textId="1ED0B6F7" w:rsidR="007431BE" w:rsidRPr="0099478E" w:rsidRDefault="007431BE" w:rsidP="000131EB">
            <w:pPr>
              <w:spacing w:line="276" w:lineRule="auto"/>
              <w:rPr>
                <w:rFonts w:ascii="Avenir Next LT Pro Light" w:hAnsi="Avenir Next LT Pro Light"/>
              </w:rPr>
            </w:pPr>
            <w:r w:rsidRPr="0099478E">
              <w:rPr>
                <w:rFonts w:ascii="Avenir Next LT Pro Light" w:hAnsi="Avenir Next LT Pro Light"/>
                <w:b/>
                <w:bCs/>
                <w:color w:val="000000" w:themeColor="text1"/>
                <w:sz w:val="32"/>
                <w:szCs w:val="36"/>
              </w:rPr>
              <w:t>O</w:t>
            </w:r>
            <w:r w:rsidRPr="0099478E">
              <w:rPr>
                <w:rFonts w:ascii="Avenir Next LT Pro Light" w:hAnsi="Avenir Next LT Pro Light"/>
              </w:rPr>
              <w:t xml:space="preserve"> Werklast verdeeld in de tijd</w:t>
            </w:r>
            <w:r w:rsidR="003D31DB">
              <w:rPr>
                <w:rFonts w:ascii="Avenir Next LT Pro Light" w:hAnsi="Avenir Next LT Pro Light"/>
              </w:rPr>
              <w:t xml:space="preserve">, waardoor minder efficiënt in te delen. </w:t>
            </w:r>
          </w:p>
        </w:tc>
        <w:tc>
          <w:tcPr>
            <w:tcW w:w="4252" w:type="dxa"/>
          </w:tcPr>
          <w:p w14:paraId="453B1BBF" w14:textId="77777777" w:rsidR="007431BE" w:rsidRPr="0099478E" w:rsidRDefault="007431BE" w:rsidP="000131EB">
            <w:pPr>
              <w:spacing w:line="276" w:lineRule="auto"/>
              <w:rPr>
                <w:rFonts w:ascii="Avenir Next LT Pro Light" w:hAnsi="Avenir Next LT Pro Light"/>
              </w:rPr>
            </w:pPr>
            <w:r w:rsidRPr="0099478E">
              <w:rPr>
                <w:rFonts w:ascii="Avenir Next LT Pro Light" w:hAnsi="Avenir Next LT Pro Light"/>
                <w:b/>
                <w:bCs/>
                <w:color w:val="000000" w:themeColor="text1"/>
                <w:sz w:val="32"/>
                <w:szCs w:val="36"/>
              </w:rPr>
              <w:t>O</w:t>
            </w:r>
            <w:r w:rsidRPr="0099478E">
              <w:rPr>
                <w:rFonts w:ascii="Avenir Next LT Pro Light" w:hAnsi="Avenir Next LT Pro Light"/>
              </w:rPr>
              <w:t xml:space="preserve">  Werklast gebundeld bij opstellen plankaart, inspraakprocedure en meervoudig verkeersbesluit</w:t>
            </w:r>
          </w:p>
          <w:p w14:paraId="07A4550B" w14:textId="77777777" w:rsidR="007431BE" w:rsidRPr="0099478E" w:rsidRDefault="007431BE" w:rsidP="000131EB">
            <w:pPr>
              <w:spacing w:line="276" w:lineRule="auto"/>
              <w:rPr>
                <w:rFonts w:ascii="Avenir Next LT Pro Light" w:hAnsi="Avenir Next LT Pro Light"/>
              </w:rPr>
            </w:pPr>
          </w:p>
        </w:tc>
      </w:tr>
      <w:tr w:rsidR="007431BE" w14:paraId="43381BB4" w14:textId="77777777" w:rsidTr="00FC3CDF">
        <w:tc>
          <w:tcPr>
            <w:tcW w:w="4253" w:type="dxa"/>
          </w:tcPr>
          <w:p w14:paraId="4D72CFB7" w14:textId="77777777" w:rsidR="007431BE" w:rsidRPr="0099478E" w:rsidRDefault="007431BE" w:rsidP="000131EB">
            <w:pPr>
              <w:spacing w:line="276" w:lineRule="auto"/>
              <w:rPr>
                <w:rFonts w:ascii="Avenir Next LT Pro Light" w:hAnsi="Avenir Next LT Pro Light"/>
              </w:rPr>
            </w:pPr>
            <w:r w:rsidRPr="0099478E">
              <w:rPr>
                <w:rFonts w:ascii="Avenir Next LT Pro Light" w:hAnsi="Avenir Next LT Pro Light"/>
                <w:b/>
                <w:bCs/>
                <w:color w:val="FF0000"/>
                <w:sz w:val="36"/>
                <w:szCs w:val="40"/>
              </w:rPr>
              <w:t>-</w:t>
            </w:r>
            <w:r w:rsidRPr="0099478E">
              <w:rPr>
                <w:rFonts w:ascii="Avenir Next LT Pro Light" w:hAnsi="Avenir Next LT Pro Light"/>
                <w:b/>
                <w:bCs/>
                <w:color w:val="000000" w:themeColor="text1"/>
                <w:sz w:val="32"/>
                <w:szCs w:val="36"/>
              </w:rPr>
              <w:t xml:space="preserve"> </w:t>
            </w:r>
            <w:r w:rsidRPr="0099478E">
              <w:rPr>
                <w:rFonts w:ascii="Avenir Next LT Pro Light" w:hAnsi="Avenir Next LT Pro Light"/>
              </w:rPr>
              <w:t>Meestal langere doorlooptijd</w:t>
            </w:r>
          </w:p>
        </w:tc>
        <w:tc>
          <w:tcPr>
            <w:tcW w:w="4252" w:type="dxa"/>
          </w:tcPr>
          <w:p w14:paraId="48978768" w14:textId="365EB98B" w:rsidR="007431BE" w:rsidRPr="0099478E" w:rsidRDefault="007431BE" w:rsidP="000131EB">
            <w:pPr>
              <w:spacing w:line="276" w:lineRule="auto"/>
              <w:rPr>
                <w:rFonts w:ascii="Avenir Next LT Pro Light" w:hAnsi="Avenir Next LT Pro Light"/>
              </w:rPr>
            </w:pPr>
            <w:r w:rsidRPr="0099478E">
              <w:rPr>
                <w:rFonts w:ascii="Avenir Next LT Pro Light" w:hAnsi="Avenir Next LT Pro Light"/>
                <w:b/>
                <w:bCs/>
                <w:color w:val="FF0000"/>
                <w:sz w:val="36"/>
                <w:szCs w:val="40"/>
              </w:rPr>
              <w:t>-</w:t>
            </w:r>
            <w:r w:rsidRPr="0099478E">
              <w:rPr>
                <w:rFonts w:ascii="Avenir Next LT Pro Light" w:hAnsi="Avenir Next LT Pro Light"/>
              </w:rPr>
              <w:t xml:space="preserve"> Vraagontwikkeling wijkt af van de plankaart en suboptimale locaties worden gerealiseerd.</w:t>
            </w:r>
          </w:p>
          <w:p w14:paraId="78327825" w14:textId="77777777" w:rsidR="007431BE" w:rsidRPr="0099478E" w:rsidRDefault="007431BE" w:rsidP="000131EB">
            <w:pPr>
              <w:spacing w:line="276" w:lineRule="auto"/>
              <w:rPr>
                <w:rFonts w:ascii="Avenir Next LT Pro Light" w:hAnsi="Avenir Next LT Pro Light"/>
              </w:rPr>
            </w:pPr>
          </w:p>
        </w:tc>
      </w:tr>
    </w:tbl>
    <w:p w14:paraId="5A8B9065" w14:textId="77777777" w:rsidR="004C79D8" w:rsidRPr="004C79D8" w:rsidRDefault="004C79D8" w:rsidP="000131EB">
      <w:pPr>
        <w:spacing w:after="0" w:line="276" w:lineRule="auto"/>
        <w:rPr>
          <w:rFonts w:ascii="Avenir Next LT Pro Light" w:hAnsi="Avenir Next LT Pro Light"/>
        </w:rPr>
      </w:pPr>
    </w:p>
    <w:p w14:paraId="372F61E3" w14:textId="77777777" w:rsidR="00583409" w:rsidRDefault="00583409" w:rsidP="000131EB">
      <w:pPr>
        <w:spacing w:after="0" w:line="276" w:lineRule="auto"/>
        <w:rPr>
          <w:rFonts w:ascii="Avenir Next LT Pro Light" w:hAnsi="Avenir Next LT Pro Light"/>
          <w:b/>
          <w:bCs/>
        </w:rPr>
      </w:pPr>
    </w:p>
    <w:p w14:paraId="2FCB0A39" w14:textId="72068AB5" w:rsidR="007F1664" w:rsidRDefault="004C79D8" w:rsidP="000131EB">
      <w:pPr>
        <w:spacing w:after="0" w:line="276" w:lineRule="auto"/>
        <w:rPr>
          <w:rFonts w:ascii="Avenir Next LT Pro Light" w:hAnsi="Avenir Next LT Pro Light"/>
        </w:rPr>
      </w:pPr>
      <w:r w:rsidRPr="004C79D8">
        <w:rPr>
          <w:rFonts w:ascii="Avenir Next LT Pro Light" w:hAnsi="Avenir Next LT Pro Light"/>
          <w:b/>
          <w:bCs/>
        </w:rPr>
        <w:t>Verlengd private aansluiting</w:t>
      </w:r>
      <w:r w:rsidRPr="004C79D8">
        <w:rPr>
          <w:rFonts w:ascii="Avenir Next LT Pro Light" w:hAnsi="Avenir Next LT Pro Light"/>
        </w:rPr>
        <w:br/>
        <w:t>Een verlengd private aansluiting (VPA) is een oplaadpunt in de openbare ruimte die wordt gevoed door een kabel die wordt aangesloten op de elektriciteitsmeter van bijvoorbeeld een woonhuis. MRA-</w:t>
      </w:r>
      <w:r w:rsidR="00B54EEA">
        <w:rPr>
          <w:rFonts w:ascii="Avenir Next LT Pro Light" w:hAnsi="Avenir Next LT Pro Light"/>
        </w:rPr>
        <w:t>E</w:t>
      </w:r>
      <w:r w:rsidRPr="004C79D8">
        <w:rPr>
          <w:rFonts w:ascii="Avenir Next LT Pro Light" w:hAnsi="Avenir Next LT Pro Light"/>
        </w:rPr>
        <w:t xml:space="preserve"> raadt gemeenten af om deze vorm van laden toe te staan omdat deze laadvorm verschillende risico’s met zich meebrengt. Bijvoorbeeld als het gaat om aansprakelijkheid en eigendom: de gemeente is het bevoegd gezag in de openbare ruimte, maar een VPA</w:t>
      </w:r>
      <w:r w:rsidR="00583409">
        <w:rPr>
          <w:rFonts w:ascii="Avenir Next LT Pro Light" w:hAnsi="Avenir Next LT Pro Light"/>
        </w:rPr>
        <w:t xml:space="preserve"> laadpaal</w:t>
      </w:r>
      <w:r w:rsidRPr="004C79D8">
        <w:rPr>
          <w:rFonts w:ascii="Avenir Next LT Pro Light" w:hAnsi="Avenir Next LT Pro Light"/>
        </w:rPr>
        <w:t xml:space="preserve"> is geen eigendom van de gemeente. Dit maakt het lastig om aansprakelijkheden te verdelen bij gebreken, defecten of wanneer de eigenaar van </w:t>
      </w:r>
      <w:r w:rsidR="00B54EEA">
        <w:rPr>
          <w:rFonts w:ascii="Avenir Next LT Pro Light" w:hAnsi="Avenir Next LT Pro Light"/>
        </w:rPr>
        <w:t>e</w:t>
      </w:r>
      <w:r w:rsidRPr="004C79D8">
        <w:rPr>
          <w:rFonts w:ascii="Avenir Next LT Pro Light" w:hAnsi="Avenir Next LT Pro Light"/>
        </w:rPr>
        <w:t>en VPA gaat verhuizen</w:t>
      </w:r>
      <w:r w:rsidRPr="00B62A94">
        <w:rPr>
          <w:rFonts w:ascii="Avenir Next LT Pro Light" w:hAnsi="Avenir Next LT Pro Light"/>
          <w:vertAlign w:val="superscript"/>
        </w:rPr>
        <w:footnoteReference w:id="10"/>
      </w:r>
      <w:r w:rsidRPr="004C79D8">
        <w:rPr>
          <w:rFonts w:ascii="Avenir Next LT Pro Light" w:hAnsi="Avenir Next LT Pro Light"/>
        </w:rPr>
        <w:t xml:space="preserve">. </w:t>
      </w:r>
    </w:p>
    <w:p w14:paraId="1B53EE7F" w14:textId="77777777" w:rsidR="007F1664" w:rsidRDefault="007F1664" w:rsidP="000131EB">
      <w:pPr>
        <w:spacing w:after="0" w:line="276" w:lineRule="auto"/>
        <w:rPr>
          <w:rFonts w:ascii="Avenir Next LT Pro Light" w:hAnsi="Avenir Next LT Pro Light"/>
        </w:rPr>
      </w:pPr>
    </w:p>
    <w:p w14:paraId="7DF1440B" w14:textId="77777777" w:rsidR="007F1664" w:rsidRPr="004C79D8" w:rsidRDefault="004C79D8" w:rsidP="000131EB">
      <w:pPr>
        <w:spacing w:after="0" w:line="276" w:lineRule="auto"/>
        <w:rPr>
          <w:rFonts w:ascii="Avenir Next LT Pro Light" w:hAnsi="Avenir Next LT Pro Light"/>
        </w:rPr>
      </w:pPr>
      <w:r w:rsidRPr="004C79D8">
        <w:rPr>
          <w:rFonts w:ascii="Avenir Next LT Pro Light" w:hAnsi="Avenir Next LT Pro Light"/>
        </w:rPr>
        <w:t>Daarnaast zijn er ook nog veiligheidsrisico’s (bijvoorbeeld losse kabels in de openbare ruimte</w:t>
      </w:r>
      <w:r w:rsidR="00817E14">
        <w:rPr>
          <w:rFonts w:ascii="Avenir Next LT Pro Light" w:hAnsi="Avenir Next LT Pro Light"/>
        </w:rPr>
        <w:t xml:space="preserve"> of slecht onderhoud</w:t>
      </w:r>
      <w:r w:rsidRPr="004C79D8">
        <w:rPr>
          <w:rFonts w:ascii="Avenir Next LT Pro Light" w:hAnsi="Avenir Next LT Pro Light"/>
        </w:rPr>
        <w:t xml:space="preserve">) en </w:t>
      </w:r>
      <w:r w:rsidR="00817E14">
        <w:rPr>
          <w:rFonts w:ascii="Avenir Next LT Pro Light" w:hAnsi="Avenir Next LT Pro Light"/>
        </w:rPr>
        <w:t>vraagt dit model</w:t>
      </w:r>
      <w:r w:rsidR="00817E14" w:rsidRPr="004C79D8">
        <w:rPr>
          <w:rFonts w:ascii="Avenir Next LT Pro Light" w:hAnsi="Avenir Next LT Pro Light"/>
        </w:rPr>
        <w:t xml:space="preserve"> </w:t>
      </w:r>
      <w:r w:rsidR="00817E14">
        <w:rPr>
          <w:rFonts w:ascii="Avenir Next LT Pro Light" w:hAnsi="Avenir Next LT Pro Light"/>
        </w:rPr>
        <w:t>om</w:t>
      </w:r>
      <w:r w:rsidRPr="004C79D8">
        <w:rPr>
          <w:rFonts w:ascii="Avenir Next LT Pro Light" w:hAnsi="Avenir Next LT Pro Light"/>
        </w:rPr>
        <w:t xml:space="preserve"> </w:t>
      </w:r>
      <w:r w:rsidR="00817E14">
        <w:rPr>
          <w:rFonts w:ascii="Avenir Next LT Pro Light" w:hAnsi="Avenir Next LT Pro Light"/>
        </w:rPr>
        <w:t xml:space="preserve">extra </w:t>
      </w:r>
      <w:r w:rsidRPr="004C79D8">
        <w:rPr>
          <w:rFonts w:ascii="Avenir Next LT Pro Light" w:hAnsi="Avenir Next LT Pro Light"/>
        </w:rPr>
        <w:t>handhaving</w:t>
      </w:r>
      <w:r w:rsidR="00817E14">
        <w:rPr>
          <w:rFonts w:ascii="Avenir Next LT Pro Light" w:hAnsi="Avenir Next LT Pro Light"/>
        </w:rPr>
        <w:t xml:space="preserve"> en contractbeheer vanuit de gemeente. </w:t>
      </w:r>
      <w:r w:rsidR="007F1664">
        <w:rPr>
          <w:rFonts w:ascii="Avenir Next LT Pro Light" w:hAnsi="Avenir Next LT Pro Light"/>
        </w:rPr>
        <w:t xml:space="preserve">Ook zijn de mogelijkheden voor ondergrondse kabels beperkt. Het doorkruisen van kabels en leidingen van de openbare nutsvoorzieningen kan gevaarlijke situaties opleveren, zeker als de registratie van private kabels onvoldoende is of niet bij alle nutsvoorzieningen bekend is. Het is mede om die reden meestal verboden om voor het realiseren van een VPA een kabel in de openbare grond te leggen (door APV-artikelen). </w:t>
      </w:r>
    </w:p>
    <w:p w14:paraId="2BCC45E5" w14:textId="77777777" w:rsidR="007F1664" w:rsidRDefault="007F1664" w:rsidP="000131EB">
      <w:pPr>
        <w:spacing w:after="0" w:line="276" w:lineRule="auto"/>
        <w:rPr>
          <w:rFonts w:ascii="Avenir Next LT Pro Light" w:hAnsi="Avenir Next LT Pro Light"/>
        </w:rPr>
      </w:pPr>
    </w:p>
    <w:p w14:paraId="56A22B3F" w14:textId="77777777" w:rsidR="00817E14" w:rsidRDefault="00817E14" w:rsidP="000131EB">
      <w:pPr>
        <w:spacing w:after="0" w:line="276" w:lineRule="auto"/>
        <w:rPr>
          <w:rFonts w:ascii="Avenir Next LT Pro Light" w:hAnsi="Avenir Next LT Pro Light"/>
        </w:rPr>
      </w:pPr>
      <w:r>
        <w:rPr>
          <w:rFonts w:ascii="Avenir Next LT Pro Light" w:hAnsi="Avenir Next LT Pro Light"/>
        </w:rPr>
        <w:t xml:space="preserve">Tot slot </w:t>
      </w:r>
      <w:r w:rsidR="007F1664">
        <w:rPr>
          <w:rFonts w:ascii="Avenir Next LT Pro Light" w:hAnsi="Avenir Next LT Pro Light"/>
        </w:rPr>
        <w:t>geeft de VPA toestemming voor het</w:t>
      </w:r>
      <w:r w:rsidR="004C79D8" w:rsidRPr="004C79D8">
        <w:rPr>
          <w:rFonts w:ascii="Avenir Next LT Pro Light" w:hAnsi="Avenir Next LT Pro Light"/>
        </w:rPr>
        <w:t xml:space="preserve"> private gebruik</w:t>
      </w:r>
      <w:r>
        <w:rPr>
          <w:rFonts w:ascii="Avenir Next LT Pro Light" w:hAnsi="Avenir Next LT Pro Light"/>
        </w:rPr>
        <w:t xml:space="preserve"> </w:t>
      </w:r>
      <w:r w:rsidR="004C79D8" w:rsidRPr="004C79D8">
        <w:rPr>
          <w:rFonts w:ascii="Avenir Next LT Pro Light" w:hAnsi="Avenir Next LT Pro Light"/>
        </w:rPr>
        <w:t>van een openbare parkeerplek</w:t>
      </w:r>
      <w:r w:rsidR="004C79D8" w:rsidRPr="004C79D8">
        <w:rPr>
          <w:rFonts w:ascii="Avenir Next LT Pro Light" w:hAnsi="Avenir Next LT Pro Light"/>
          <w:vertAlign w:val="superscript"/>
        </w:rPr>
        <w:footnoteReference w:id="11"/>
      </w:r>
      <w:r w:rsidR="004C79D8" w:rsidRPr="004C79D8">
        <w:rPr>
          <w:rFonts w:ascii="Avenir Next LT Pro Light" w:hAnsi="Avenir Next LT Pro Light"/>
        </w:rPr>
        <w:t>.</w:t>
      </w:r>
      <w:r w:rsidR="00797AC4">
        <w:rPr>
          <w:rFonts w:ascii="Avenir Next LT Pro Light" w:hAnsi="Avenir Next LT Pro Light"/>
        </w:rPr>
        <w:t xml:space="preserve"> </w:t>
      </w:r>
      <w:r w:rsidR="007F1664">
        <w:rPr>
          <w:rFonts w:ascii="Avenir Next LT Pro Light" w:hAnsi="Avenir Next LT Pro Light"/>
        </w:rPr>
        <w:t>Door informele toe-eigening kan het verder gaan dan gebruik en is de parkeerplek in de praktijk alleen nog beschikbaar voor de eigenaar van de VPA laadpaal.</w:t>
      </w:r>
    </w:p>
    <w:p w14:paraId="2661ED8D" w14:textId="77777777" w:rsidR="00817E14" w:rsidRDefault="00817E14" w:rsidP="000131EB">
      <w:pPr>
        <w:spacing w:after="0" w:line="276" w:lineRule="auto"/>
        <w:rPr>
          <w:rFonts w:ascii="Avenir Next LT Pro Light" w:hAnsi="Avenir Next LT Pro Light"/>
        </w:rPr>
      </w:pPr>
    </w:p>
    <w:p w14:paraId="15E2EFA6" w14:textId="77777777" w:rsidR="00797BBC" w:rsidRDefault="00797BBC" w:rsidP="000131EB">
      <w:pPr>
        <w:spacing w:line="276" w:lineRule="auto"/>
        <w:rPr>
          <w:rFonts w:ascii="Avenir LT Std 45 Book" w:hAnsi="Avenir LT Std 45 Book"/>
        </w:rPr>
      </w:pPr>
      <w:r w:rsidRPr="0044473A">
        <w:rPr>
          <w:rFonts w:ascii="Avenir Next LT Pro Light" w:hAnsi="Avenir Next LT Pro Light"/>
        </w:rPr>
        <w:t>MRA-Elektrisch zet met gemeenten onverminderd in op het uitbreiden van het aantal openbare laadpalen. Onvoldoende beschikbaarheid daarvan is dan (voorlopig) geen reden om een privaat punt te willen</w:t>
      </w:r>
      <w:r w:rsidRPr="00701E16">
        <w:rPr>
          <w:rFonts w:ascii="Avenir LT Std 45 Book" w:hAnsi="Avenir LT Std 45 Book"/>
        </w:rPr>
        <w:t>.</w:t>
      </w:r>
    </w:p>
    <w:p w14:paraId="3E107A56" w14:textId="77777777" w:rsidR="008C60E2" w:rsidRPr="000859B3" w:rsidRDefault="006545FF" w:rsidP="000131EB">
      <w:pPr>
        <w:pStyle w:val="Kop2"/>
        <w:spacing w:line="276" w:lineRule="auto"/>
      </w:pPr>
      <w:bookmarkStart w:id="14" w:name="_Toc71287700"/>
      <w:r w:rsidRPr="000859B3">
        <w:lastRenderedPageBreak/>
        <w:t>Privaat en semi-publiek laden</w:t>
      </w:r>
      <w:bookmarkEnd w:id="14"/>
    </w:p>
    <w:p w14:paraId="19321694" w14:textId="77777777" w:rsidR="004C79D8" w:rsidRDefault="004C79D8" w:rsidP="000131EB">
      <w:pPr>
        <w:spacing w:after="0" w:line="276" w:lineRule="auto"/>
        <w:rPr>
          <w:rFonts w:ascii="Avenir Next LT Pro Light" w:hAnsi="Avenir Next LT Pro Light"/>
        </w:rPr>
      </w:pPr>
      <w:r w:rsidRPr="004C79D8">
        <w:rPr>
          <w:rFonts w:ascii="Avenir Next LT Pro Light" w:hAnsi="Avenir Next LT Pro Light"/>
        </w:rPr>
        <w:t xml:space="preserve">Om het aanbod aan laadinfrastructuur te laten meegroeien met het aantal elektrische voertuigen is het noodzakelijk dat ook de private laadinfrastructuur meegroeit. Hierin wordt onderscheid gemaakt in twee type locaties. Een privaat laadpunt bevindt zich op eigen terrein. Dit geldt ook voor een </w:t>
      </w:r>
      <w:r w:rsidR="00251887">
        <w:rPr>
          <w:rFonts w:ascii="Avenir Next LT Pro Light" w:hAnsi="Avenir Next LT Pro Light"/>
        </w:rPr>
        <w:t>semi</w:t>
      </w:r>
      <w:r w:rsidRPr="004C79D8">
        <w:rPr>
          <w:rFonts w:ascii="Avenir Next LT Pro Light" w:hAnsi="Avenir Next LT Pro Light"/>
        </w:rPr>
        <w:t>-priva</w:t>
      </w:r>
      <w:r w:rsidR="00251887">
        <w:rPr>
          <w:rFonts w:ascii="Avenir Next LT Pro Light" w:hAnsi="Avenir Next LT Pro Light"/>
        </w:rPr>
        <w:t>at laadpunt</w:t>
      </w:r>
      <w:r w:rsidRPr="004C79D8">
        <w:rPr>
          <w:rFonts w:ascii="Avenir Next LT Pro Light" w:hAnsi="Avenir Next LT Pro Light"/>
        </w:rPr>
        <w:t xml:space="preserve">, maar in dat geval wordt het laadpunt opengesteld voor gebruik door derden. </w:t>
      </w:r>
    </w:p>
    <w:p w14:paraId="3198DD5F" w14:textId="77777777" w:rsidR="001C40D4" w:rsidRPr="004C79D8" w:rsidRDefault="001C40D4" w:rsidP="000131EB">
      <w:pPr>
        <w:spacing w:after="0" w:line="276" w:lineRule="auto"/>
        <w:rPr>
          <w:rFonts w:ascii="Avenir Next LT Pro Light" w:hAnsi="Avenir Next LT Pro Light"/>
        </w:rPr>
      </w:pPr>
    </w:p>
    <w:p w14:paraId="5071426E" w14:textId="77777777" w:rsidR="004C79D8" w:rsidRDefault="004C79D8" w:rsidP="000131EB">
      <w:pPr>
        <w:spacing w:after="0" w:line="276" w:lineRule="auto"/>
        <w:rPr>
          <w:rFonts w:ascii="Avenir Next LT Pro Light" w:hAnsi="Avenir Next LT Pro Light"/>
        </w:rPr>
      </w:pPr>
      <w:r w:rsidRPr="004C79D8">
        <w:rPr>
          <w:rFonts w:ascii="Avenir Next LT Pro Light" w:hAnsi="Avenir Next LT Pro Light"/>
        </w:rPr>
        <w:t>Op beide vormen van laden hebben overheden in mindere mate invloed dan bij publiek laden</w:t>
      </w:r>
      <w:r w:rsidR="00251887">
        <w:rPr>
          <w:rFonts w:ascii="Avenir Next LT Pro Light" w:hAnsi="Avenir Next LT Pro Light"/>
        </w:rPr>
        <w:t>, omdat de grond niet in het beheer en eigendom van overheden is</w:t>
      </w:r>
      <w:r w:rsidRPr="004C79D8">
        <w:rPr>
          <w:rFonts w:ascii="Avenir Next LT Pro Light" w:hAnsi="Avenir Next LT Pro Light"/>
        </w:rPr>
        <w:t>. Wel sturen MRA-E gemeenten op het realiseren van privaat laden, door aanvragen voor een openbare laadpaal alleen goed te keuren als er geen parkeermogelijkheden zijn op eigen terrein.</w:t>
      </w:r>
    </w:p>
    <w:p w14:paraId="240E434A" w14:textId="77777777" w:rsidR="001C40D4" w:rsidRPr="004C79D8" w:rsidRDefault="001C40D4" w:rsidP="000131EB">
      <w:pPr>
        <w:spacing w:after="0" w:line="276" w:lineRule="auto"/>
        <w:rPr>
          <w:rFonts w:ascii="Avenir Next LT Pro Light" w:hAnsi="Avenir Next LT Pro Light"/>
        </w:rPr>
      </w:pPr>
    </w:p>
    <w:p w14:paraId="523832BE" w14:textId="67A51F9C" w:rsidR="004C79D8" w:rsidRDefault="004C79D8" w:rsidP="000131EB">
      <w:pPr>
        <w:spacing w:after="0" w:line="276" w:lineRule="auto"/>
        <w:rPr>
          <w:rFonts w:ascii="Avenir Next LT Pro Light" w:hAnsi="Avenir Next LT Pro Light"/>
          <w:b/>
          <w:bCs/>
        </w:rPr>
      </w:pPr>
      <w:r w:rsidRPr="00F33BC7">
        <w:rPr>
          <w:rFonts w:ascii="Avenir Next LT Pro Light" w:hAnsi="Avenir Next LT Pro Light"/>
          <w:i/>
          <w:iCs/>
        </w:rPr>
        <w:t>Privaat laden – een publiek belang</w:t>
      </w:r>
      <w:r>
        <w:rPr>
          <w:rFonts w:ascii="Avenir Next LT Pro Light" w:hAnsi="Avenir Next LT Pro Light"/>
          <w:b/>
          <w:bCs/>
        </w:rPr>
        <w:br/>
      </w:r>
      <w:r w:rsidRPr="004C79D8">
        <w:rPr>
          <w:rFonts w:ascii="Avenir Next LT Pro Light" w:hAnsi="Avenir Next LT Pro Light"/>
        </w:rPr>
        <w:t>Vanwege de directe verantwoordelijkheid en invloed die gemeenten hebben op publieke laadlocaties, is veel van de aandacht in het Nederlandse laadbeleid hier naar uit gegaan. Zo ook binnen de gemeenten die aangesloten zijn bij MRA</w:t>
      </w:r>
      <w:r w:rsidR="00F33BC7">
        <w:rPr>
          <w:rFonts w:ascii="Avenir Next LT Pro Light" w:hAnsi="Avenir Next LT Pro Light"/>
        </w:rPr>
        <w:t>-</w:t>
      </w:r>
      <w:r w:rsidRPr="004C79D8">
        <w:rPr>
          <w:rFonts w:ascii="Avenir Next LT Pro Light" w:hAnsi="Avenir Next LT Pro Light"/>
        </w:rPr>
        <w:t>Elektrisch. De verantwoordelijkheid en het eigenaarschap van private en semi</w:t>
      </w:r>
      <w:r w:rsidR="00582C20">
        <w:rPr>
          <w:rFonts w:ascii="Avenir Next LT Pro Light" w:hAnsi="Avenir Next LT Pro Light"/>
        </w:rPr>
        <w:t>-</w:t>
      </w:r>
      <w:r w:rsidRPr="004C79D8">
        <w:rPr>
          <w:rFonts w:ascii="Avenir Next LT Pro Light" w:hAnsi="Avenir Next LT Pro Light"/>
        </w:rPr>
        <w:t xml:space="preserve">publieke laadlocaties is versnipperd. Hierdoor ontbreekt coördinatie en samenhang in de ontwikkeling van het private laadnetwerk en blijft de ontwikkeling op een deel van de locaties achter bij de vraag. </w:t>
      </w:r>
      <w:r w:rsidR="0011364E">
        <w:rPr>
          <w:rFonts w:ascii="Avenir Next LT Pro Light" w:hAnsi="Avenir Next LT Pro Light"/>
        </w:rPr>
        <w:t xml:space="preserve">Toch </w:t>
      </w:r>
      <w:r w:rsidRPr="004C79D8">
        <w:rPr>
          <w:rFonts w:ascii="Avenir Next LT Pro Light" w:hAnsi="Avenir Next LT Pro Light"/>
        </w:rPr>
        <w:t xml:space="preserve">dient </w:t>
      </w:r>
      <w:r w:rsidR="0011364E">
        <w:rPr>
          <w:rFonts w:ascii="Avenir Next LT Pro Light" w:hAnsi="Avenir Next LT Pro Light"/>
        </w:rPr>
        <w:t>privaat laden</w:t>
      </w:r>
      <w:r w:rsidRPr="004C79D8">
        <w:rPr>
          <w:rFonts w:ascii="Avenir Next LT Pro Light" w:hAnsi="Avenir Next LT Pro Light"/>
        </w:rPr>
        <w:t xml:space="preserve"> wel</w:t>
      </w:r>
      <w:r w:rsidR="006B1A80">
        <w:rPr>
          <w:rFonts w:ascii="Avenir Next LT Pro Light" w:hAnsi="Avenir Next LT Pro Light"/>
        </w:rPr>
        <w:t xml:space="preserve"> </w:t>
      </w:r>
      <w:r w:rsidRPr="004C79D8">
        <w:rPr>
          <w:rFonts w:ascii="Avenir Next LT Pro Light" w:hAnsi="Avenir Next LT Pro Light"/>
        </w:rPr>
        <w:t>degelijk een publiek belang, door</w:t>
      </w:r>
      <w:r w:rsidR="0011364E">
        <w:rPr>
          <w:rFonts w:ascii="Avenir Next LT Pro Light" w:hAnsi="Avenir Next LT Pro Light"/>
        </w:rPr>
        <w:t xml:space="preserve">dat </w:t>
      </w:r>
      <w:r w:rsidRPr="004C79D8">
        <w:rPr>
          <w:rFonts w:ascii="Avenir Next LT Pro Light" w:hAnsi="Avenir Next LT Pro Light"/>
        </w:rPr>
        <w:t xml:space="preserve">de druk op de openbare ruimte </w:t>
      </w:r>
      <w:r w:rsidR="0011364E">
        <w:rPr>
          <w:rFonts w:ascii="Avenir Next LT Pro Light" w:hAnsi="Avenir Next LT Pro Light"/>
        </w:rPr>
        <w:t>kan worden verlicht</w:t>
      </w:r>
      <w:r w:rsidRPr="004C79D8">
        <w:rPr>
          <w:rFonts w:ascii="Avenir Next LT Pro Light" w:hAnsi="Avenir Next LT Pro Light"/>
        </w:rPr>
        <w:t xml:space="preserve">. Het achterblijven van </w:t>
      </w:r>
      <w:r w:rsidR="00B54EEA">
        <w:rPr>
          <w:rFonts w:ascii="Avenir Next LT Pro Light" w:hAnsi="Avenir Next LT Pro Light"/>
        </w:rPr>
        <w:t>de</w:t>
      </w:r>
      <w:r w:rsidRPr="004C79D8">
        <w:rPr>
          <w:rFonts w:ascii="Avenir Next LT Pro Light" w:hAnsi="Avenir Next LT Pro Light"/>
        </w:rPr>
        <w:t xml:space="preserve"> private laadinfra</w:t>
      </w:r>
      <w:r w:rsidR="00B54EEA">
        <w:rPr>
          <w:rFonts w:ascii="Avenir Next LT Pro Light" w:hAnsi="Avenir Next LT Pro Light"/>
        </w:rPr>
        <w:t>structuur</w:t>
      </w:r>
      <w:r w:rsidRPr="004C79D8">
        <w:rPr>
          <w:rFonts w:ascii="Avenir Next LT Pro Light" w:hAnsi="Avenir Next LT Pro Light"/>
        </w:rPr>
        <w:t xml:space="preserve"> is problematisch in verband met het goed functioneren van het laadnetwerk, zeker met het oog op de huidige en voorziene groei in EV adoptie in het komende decennium. </w:t>
      </w:r>
    </w:p>
    <w:p w14:paraId="50FF7A17" w14:textId="77777777" w:rsidR="000859B3" w:rsidRPr="004C79D8" w:rsidRDefault="000859B3" w:rsidP="000131EB">
      <w:pPr>
        <w:spacing w:after="0" w:line="276" w:lineRule="auto"/>
        <w:rPr>
          <w:rFonts w:ascii="Avenir Next LT Pro Light" w:hAnsi="Avenir Next LT Pro Light"/>
          <w:b/>
          <w:bCs/>
        </w:rPr>
      </w:pPr>
    </w:p>
    <w:p w14:paraId="73FBA0BD" w14:textId="2C883921" w:rsidR="004C79D8" w:rsidRDefault="004C79D8" w:rsidP="000131EB">
      <w:pPr>
        <w:spacing w:after="0" w:line="276" w:lineRule="auto"/>
        <w:rPr>
          <w:rFonts w:ascii="Avenir Next LT Pro Light" w:hAnsi="Avenir Next LT Pro Light"/>
          <w:b/>
          <w:bCs/>
        </w:rPr>
      </w:pPr>
      <w:r w:rsidRPr="004C79D8">
        <w:rPr>
          <w:rFonts w:ascii="Avenir Next LT Pro Light" w:hAnsi="Avenir Next LT Pro Light"/>
          <w:b/>
          <w:bCs/>
        </w:rPr>
        <w:t>Type</w:t>
      </w:r>
      <w:r>
        <w:rPr>
          <w:rFonts w:ascii="Avenir Next LT Pro Light" w:hAnsi="Avenir Next LT Pro Light"/>
          <w:b/>
          <w:bCs/>
        </w:rPr>
        <w:t>n</w:t>
      </w:r>
      <w:r w:rsidRPr="004C79D8">
        <w:rPr>
          <w:rFonts w:ascii="Avenir Next LT Pro Light" w:hAnsi="Avenir Next LT Pro Light"/>
          <w:b/>
          <w:bCs/>
        </w:rPr>
        <w:t xml:space="preserve"> la</w:t>
      </w:r>
      <w:r w:rsidR="006545FF">
        <w:rPr>
          <w:rFonts w:ascii="Avenir Next LT Pro Light" w:hAnsi="Avenir Next LT Pro Light"/>
          <w:b/>
          <w:bCs/>
        </w:rPr>
        <w:t>adlocaties</w:t>
      </w:r>
      <w:r>
        <w:rPr>
          <w:rFonts w:ascii="Avenir Next LT Pro Light" w:hAnsi="Avenir Next LT Pro Light"/>
          <w:b/>
          <w:bCs/>
        </w:rPr>
        <w:br/>
      </w:r>
      <w:r w:rsidR="006545FF">
        <w:rPr>
          <w:rFonts w:ascii="Avenir Next LT Pro Light" w:hAnsi="Avenir Next LT Pro Light"/>
        </w:rPr>
        <w:t>Privaat en s</w:t>
      </w:r>
      <w:r w:rsidRPr="004C79D8">
        <w:rPr>
          <w:rFonts w:ascii="Avenir Next LT Pro Light" w:hAnsi="Avenir Next LT Pro Light"/>
        </w:rPr>
        <w:t>emi-</w:t>
      </w:r>
      <w:r w:rsidR="00B54EEA" w:rsidRPr="004C79D8">
        <w:rPr>
          <w:rFonts w:ascii="Avenir Next LT Pro Light" w:hAnsi="Avenir Next LT Pro Light"/>
        </w:rPr>
        <w:t>p</w:t>
      </w:r>
      <w:r w:rsidR="00B54EEA">
        <w:rPr>
          <w:rFonts w:ascii="Avenir Next LT Pro Light" w:hAnsi="Avenir Next LT Pro Light"/>
        </w:rPr>
        <w:t xml:space="preserve">ubliek </w:t>
      </w:r>
      <w:r w:rsidRPr="004C79D8">
        <w:rPr>
          <w:rFonts w:ascii="Avenir Next LT Pro Light" w:hAnsi="Avenir Next LT Pro Light"/>
        </w:rPr>
        <w:t xml:space="preserve">laden vindt plaats op verschillende locaties. We maken onderscheid tussen </w:t>
      </w:r>
      <w:r w:rsidRPr="004C79D8">
        <w:rPr>
          <w:rFonts w:ascii="Avenir Next LT Pro Light" w:hAnsi="Avenir Next LT Pro Light"/>
          <w:bCs/>
        </w:rPr>
        <w:t>laden</w:t>
      </w:r>
      <w:r w:rsidRPr="004C79D8">
        <w:rPr>
          <w:rFonts w:ascii="Avenir Next LT Pro Light" w:hAnsi="Avenir Next LT Pro Light"/>
        </w:rPr>
        <w:t xml:space="preserve"> voor </w:t>
      </w:r>
      <w:r>
        <w:rPr>
          <w:rFonts w:ascii="Avenir Next LT Pro Light" w:hAnsi="Avenir Next LT Pro Light"/>
        </w:rPr>
        <w:t>w</w:t>
      </w:r>
      <w:r w:rsidRPr="004C79D8">
        <w:rPr>
          <w:rFonts w:ascii="Avenir Next LT Pro Light" w:hAnsi="Avenir Next LT Pro Light"/>
        </w:rPr>
        <w:t xml:space="preserve">onen, </w:t>
      </w:r>
      <w:r>
        <w:rPr>
          <w:rFonts w:ascii="Avenir Next LT Pro Light" w:hAnsi="Avenir Next LT Pro Light"/>
        </w:rPr>
        <w:t>w</w:t>
      </w:r>
      <w:r w:rsidRPr="004C79D8">
        <w:rPr>
          <w:rFonts w:ascii="Avenir Next LT Pro Light" w:hAnsi="Avenir Next LT Pro Light"/>
        </w:rPr>
        <w:t xml:space="preserve">erken en </w:t>
      </w:r>
      <w:r>
        <w:rPr>
          <w:rFonts w:ascii="Avenir Next LT Pro Light" w:hAnsi="Avenir Next LT Pro Light"/>
        </w:rPr>
        <w:t>b</w:t>
      </w:r>
      <w:r w:rsidRPr="004C79D8">
        <w:rPr>
          <w:rFonts w:ascii="Avenir Next LT Pro Light" w:hAnsi="Avenir Next LT Pro Light"/>
        </w:rPr>
        <w:t>ezoeken.</w:t>
      </w:r>
    </w:p>
    <w:p w14:paraId="4842FF72" w14:textId="4D4E9AB8" w:rsidR="0059015F" w:rsidRDefault="0059015F" w:rsidP="000131EB">
      <w:pPr>
        <w:spacing w:after="0" w:line="276" w:lineRule="auto"/>
        <w:rPr>
          <w:rFonts w:ascii="Avenir Next LT Pro Light" w:hAnsi="Avenir Next LT Pro Light"/>
          <w:b/>
          <w:bCs/>
        </w:rPr>
      </w:pPr>
    </w:p>
    <w:p w14:paraId="5B926AAC" w14:textId="031E2142" w:rsidR="0059015F" w:rsidRDefault="0059015F" w:rsidP="000131EB">
      <w:pPr>
        <w:spacing w:after="0" w:line="276" w:lineRule="auto"/>
        <w:rPr>
          <w:rFonts w:ascii="Avenir Next LT Pro Light" w:hAnsi="Avenir Next LT Pro Light"/>
          <w:b/>
          <w:bCs/>
        </w:rPr>
      </w:pPr>
      <w:r>
        <w:rPr>
          <w:noProof/>
        </w:rPr>
        <w:lastRenderedPageBreak/>
        <w:drawing>
          <wp:inline distT="0" distB="0" distL="0" distR="0" wp14:anchorId="35EE8099" wp14:editId="3AC7734F">
            <wp:extent cx="5400675" cy="4057015"/>
            <wp:effectExtent l="0" t="12700" r="0" b="69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9070978" w14:textId="77777777" w:rsidR="001C40D4" w:rsidRDefault="001C40D4" w:rsidP="000131EB">
      <w:pPr>
        <w:spacing w:after="0" w:line="276" w:lineRule="auto"/>
        <w:rPr>
          <w:rFonts w:ascii="Avenir Next LT Pro Light" w:hAnsi="Avenir Next LT Pro Light"/>
          <w:bCs/>
          <w:i/>
          <w:iCs/>
        </w:rPr>
      </w:pPr>
    </w:p>
    <w:p w14:paraId="7E032E0F" w14:textId="77777777" w:rsidR="004C79D8" w:rsidRPr="004C79D8" w:rsidRDefault="004C79D8" w:rsidP="000131EB">
      <w:pPr>
        <w:spacing w:after="0" w:line="276" w:lineRule="auto"/>
        <w:rPr>
          <w:rFonts w:ascii="Avenir Next LT Pro Light" w:hAnsi="Avenir Next LT Pro Light"/>
          <w:bCs/>
          <w:i/>
          <w:iCs/>
        </w:rPr>
      </w:pPr>
      <w:r w:rsidRPr="004C79D8">
        <w:rPr>
          <w:rFonts w:ascii="Avenir Next LT Pro Light" w:hAnsi="Avenir Next LT Pro Light"/>
          <w:bCs/>
          <w:i/>
          <w:iCs/>
        </w:rPr>
        <w:t>Wonen</w:t>
      </w:r>
    </w:p>
    <w:p w14:paraId="5B0B041D" w14:textId="61783786" w:rsidR="004C79D8" w:rsidRDefault="004C79D8" w:rsidP="000131EB">
      <w:pPr>
        <w:pStyle w:val="Lijstalinea"/>
        <w:numPr>
          <w:ilvl w:val="0"/>
          <w:numId w:val="34"/>
        </w:numPr>
        <w:spacing w:line="276" w:lineRule="auto"/>
        <w:rPr>
          <w:rFonts w:ascii="Avenir Next LT Pro Light" w:hAnsi="Avenir Next LT Pro Light"/>
        </w:rPr>
      </w:pPr>
      <w:r w:rsidRPr="004C79D8">
        <w:rPr>
          <w:rFonts w:ascii="Avenir Next LT Pro Light" w:hAnsi="Avenir Next LT Pro Light"/>
        </w:rPr>
        <w:t>Op de oprit</w:t>
      </w:r>
      <w:r w:rsidRPr="004C79D8">
        <w:rPr>
          <w:rFonts w:ascii="Avenir Next LT Pro Light" w:hAnsi="Avenir Next LT Pro Light"/>
        </w:rPr>
        <w:br/>
        <w:t>Eigenaren van een woning met eigen oprit ondervinden over het algemeen weinig problemen bij het realiseren van laadinfrastructuur voor eigen gebruik. De laadinfrastructuur is verkrijgbaar via verschillende aanbieders en de plaatsing is relatief eenvoudig. Bovendien loont het om te investeren omdat de kWh-prijs voor laden op eigen terrein 30</w:t>
      </w:r>
      <w:r w:rsidR="00AA60AC">
        <w:rPr>
          <w:rFonts w:ascii="Avenir Next LT Pro Light" w:hAnsi="Avenir Next LT Pro Light"/>
        </w:rPr>
        <w:t xml:space="preserve"> tot </w:t>
      </w:r>
      <w:r w:rsidRPr="004C79D8">
        <w:rPr>
          <w:rFonts w:ascii="Avenir Next LT Pro Light" w:hAnsi="Avenir Next LT Pro Light"/>
        </w:rPr>
        <w:t>40</w:t>
      </w:r>
      <w:r w:rsidR="006B1A80">
        <w:rPr>
          <w:rFonts w:ascii="Avenir Next LT Pro Light" w:hAnsi="Avenir Next LT Pro Light"/>
        </w:rPr>
        <w:t xml:space="preserve"> procent</w:t>
      </w:r>
      <w:r w:rsidRPr="004C79D8">
        <w:rPr>
          <w:rFonts w:ascii="Avenir Next LT Pro Light" w:hAnsi="Avenir Next LT Pro Light"/>
        </w:rPr>
        <w:t xml:space="preserve"> lager ligt dan bij openbare laadinfrastructuur.</w:t>
      </w:r>
      <w:r w:rsidR="00AA60AC">
        <w:rPr>
          <w:rFonts w:ascii="Avenir Next LT Pro Light" w:hAnsi="Avenir Next LT Pro Light"/>
        </w:rPr>
        <w:t xml:space="preserve"> Gemeenten kunnen op deze vorm sturen door </w:t>
      </w:r>
      <w:r w:rsidR="00AA60AC" w:rsidRPr="00AA60AC">
        <w:rPr>
          <w:rFonts w:ascii="Avenir Next LT Pro Light" w:hAnsi="Avenir Next LT Pro Light"/>
        </w:rPr>
        <w:t>aanvragen voor een openbare laadpaal alleen goed te keuren als er geen parkeermogelijkheden zijn op eigen terrein.</w:t>
      </w:r>
    </w:p>
    <w:p w14:paraId="50A9A061" w14:textId="77777777" w:rsidR="004C79D8" w:rsidRDefault="004C79D8" w:rsidP="000131EB">
      <w:pPr>
        <w:pStyle w:val="Lijstalinea"/>
        <w:numPr>
          <w:ilvl w:val="0"/>
          <w:numId w:val="34"/>
        </w:numPr>
        <w:spacing w:line="276" w:lineRule="auto"/>
        <w:rPr>
          <w:rFonts w:ascii="Avenir Next LT Pro Light" w:hAnsi="Avenir Next LT Pro Light"/>
        </w:rPr>
      </w:pPr>
      <w:r w:rsidRPr="004C79D8">
        <w:rPr>
          <w:rFonts w:ascii="Avenir Next LT Pro Light" w:hAnsi="Avenir Next LT Pro Light"/>
        </w:rPr>
        <w:t>Appartementencomplexen</w:t>
      </w:r>
      <w:r w:rsidRPr="004C79D8">
        <w:rPr>
          <w:rFonts w:ascii="Avenir Next LT Pro Light" w:hAnsi="Avenir Next LT Pro Light"/>
        </w:rPr>
        <w:br/>
        <w:t>Bij appartementencomplexen in beheer van Verenigingen van Eigenaren, woningcorporaties of particuliere verhuurders is de situatie vaak gecompliceerder. Zij komen niet in aanmerking voor een laadpaal in de openbare ruimte maar kunnen ook niet zelfstandig een laadpaal realiseren vanwege de gedeelde parkeervoorzieningen. Uitdagingen bestaan onder andere uit de beperkte aansluitcapaciteit in de bestaande voorzieningen, het eigendom en de besluitvorming en de oorspronkelijk beperkte groep initiële gebruikers, waarvoor de investering moet worden gemaakt.</w:t>
      </w:r>
      <w:r w:rsidR="009A6CC3">
        <w:rPr>
          <w:rFonts w:ascii="Avenir Next LT Pro Light" w:hAnsi="Avenir Next LT Pro Light"/>
        </w:rPr>
        <w:t xml:space="preserve"> Zorgen over onevenredig verdeling van kosten of brandveiligheid kunnen dan al snel de installatie blokkeren.</w:t>
      </w:r>
    </w:p>
    <w:p w14:paraId="167A8CE5" w14:textId="77777777" w:rsidR="009A6CC3" w:rsidRDefault="009A6CC3" w:rsidP="000131EB">
      <w:pPr>
        <w:pStyle w:val="Lijstalinea"/>
        <w:spacing w:line="276" w:lineRule="auto"/>
        <w:ind w:left="360"/>
        <w:rPr>
          <w:rFonts w:ascii="Avenir Next LT Pro Light" w:hAnsi="Avenir Next LT Pro Light"/>
        </w:rPr>
      </w:pPr>
    </w:p>
    <w:p w14:paraId="767BF6FE" w14:textId="1EDAE895" w:rsidR="004C79D8" w:rsidRDefault="004C79D8" w:rsidP="000131EB">
      <w:pPr>
        <w:pStyle w:val="Lijstalinea"/>
        <w:numPr>
          <w:ilvl w:val="1"/>
          <w:numId w:val="34"/>
        </w:numPr>
        <w:spacing w:line="276" w:lineRule="auto"/>
        <w:rPr>
          <w:rFonts w:ascii="Avenir Next LT Pro Light" w:hAnsi="Avenir Next LT Pro Light"/>
        </w:rPr>
      </w:pPr>
      <w:r w:rsidRPr="004C79D8">
        <w:rPr>
          <w:rFonts w:ascii="Avenir Next LT Pro Light" w:hAnsi="Avenir Next LT Pro Light"/>
        </w:rPr>
        <w:t>Vereniging van Eigenaren</w:t>
      </w:r>
      <w:r w:rsidRPr="004C79D8">
        <w:rPr>
          <w:rFonts w:ascii="Avenir Next LT Pro Light" w:hAnsi="Avenir Next LT Pro Light"/>
        </w:rPr>
        <w:br/>
        <w:t xml:space="preserve">Elektrische rijders die een laadpaal willen en lid zijn van een Vereniging van Eigenaren (VvE) moeten in samenspraak met deze VvE een laadpaal plaatsen. Dit geldt bijvoorbeeld </w:t>
      </w:r>
      <w:r w:rsidRPr="004C79D8">
        <w:rPr>
          <w:rFonts w:ascii="Avenir Next LT Pro Light" w:hAnsi="Avenir Next LT Pro Light"/>
        </w:rPr>
        <w:lastRenderedPageBreak/>
        <w:t>voor bewoners van appartementencomplexen met een gezamenlijke parkeervoorziening op eigen terrein. MRA-</w:t>
      </w:r>
      <w:r w:rsidR="00EE0527">
        <w:rPr>
          <w:rFonts w:ascii="Avenir Next LT Pro Light" w:hAnsi="Avenir Next LT Pro Light"/>
        </w:rPr>
        <w:t>E</w:t>
      </w:r>
      <w:r w:rsidR="003C64FA">
        <w:rPr>
          <w:rFonts w:ascii="Avenir Next LT Pro Light" w:hAnsi="Avenir Next LT Pro Light"/>
        </w:rPr>
        <w:t>, RVO</w:t>
      </w:r>
      <w:r w:rsidRPr="004C79D8">
        <w:rPr>
          <w:rFonts w:ascii="Avenir Next LT Pro Light" w:hAnsi="Avenir Next LT Pro Light"/>
        </w:rPr>
        <w:t xml:space="preserve"> en de G4</w:t>
      </w:r>
      <w:r w:rsidR="00EE0527">
        <w:rPr>
          <w:rFonts w:ascii="Avenir Next LT Pro Light" w:hAnsi="Avenir Next LT Pro Light"/>
        </w:rPr>
        <w:t>-steden</w:t>
      </w:r>
      <w:r w:rsidRPr="004C79D8">
        <w:rPr>
          <w:rFonts w:ascii="Avenir Next LT Pro Light" w:hAnsi="Avenir Next LT Pro Light"/>
        </w:rPr>
        <w:t xml:space="preserve"> hebben </w:t>
      </w:r>
      <w:r w:rsidR="003C64FA">
        <w:rPr>
          <w:rFonts w:ascii="Avenir Next LT Pro Light" w:hAnsi="Avenir Next LT Pro Light"/>
        </w:rPr>
        <w:t xml:space="preserve">gezamenlijk </w:t>
      </w:r>
      <w:r w:rsidRPr="004C79D8">
        <w:rPr>
          <w:rFonts w:ascii="Avenir Next LT Pro Light" w:hAnsi="Avenir Next LT Pro Light"/>
        </w:rPr>
        <w:t xml:space="preserve">een handleiding opgesteld om te komen tot een toekomstbestendige aanpak voor het plaatsen van laadinfrastructuur in een VvE. De handleiding bestaat uit verschillende stappen waar per stap verschillende keuzes worden toegelicht (zie afbeelding). </w:t>
      </w:r>
      <w:r w:rsidR="00AB2FAC">
        <w:rPr>
          <w:rFonts w:ascii="Avenir Next LT Pro Light" w:hAnsi="Avenir Next LT Pro Light"/>
        </w:rPr>
        <w:t xml:space="preserve">Doel van de handleiding is om richting te geven aan het proces, maar omdat elke situatie anders is, zal het maatwerk blijven.  </w:t>
      </w:r>
    </w:p>
    <w:p w14:paraId="0CBF6B42" w14:textId="665719EA" w:rsidR="004C79D8" w:rsidRDefault="004C79D8" w:rsidP="000131EB">
      <w:pPr>
        <w:pStyle w:val="Lijstalinea"/>
        <w:numPr>
          <w:ilvl w:val="1"/>
          <w:numId w:val="34"/>
        </w:numPr>
        <w:spacing w:line="276" w:lineRule="auto"/>
        <w:rPr>
          <w:rFonts w:ascii="Avenir Next LT Pro Light" w:hAnsi="Avenir Next LT Pro Light"/>
        </w:rPr>
      </w:pPr>
      <w:r w:rsidRPr="004C79D8">
        <w:rPr>
          <w:rFonts w:ascii="Avenir Next LT Pro Light" w:hAnsi="Avenir Next LT Pro Light"/>
        </w:rPr>
        <w:t xml:space="preserve">Woningcorporaties </w:t>
      </w:r>
      <w:r>
        <w:rPr>
          <w:rFonts w:ascii="Avenir Next LT Pro Light" w:hAnsi="Avenir Next LT Pro Light"/>
        </w:rPr>
        <w:br/>
      </w:r>
      <w:r w:rsidRPr="004C79D8">
        <w:rPr>
          <w:rFonts w:ascii="Avenir Next LT Pro Light" w:hAnsi="Avenir Next LT Pro Light"/>
        </w:rPr>
        <w:t xml:space="preserve">Ook voor woningcorporaties en grote private verhuurders met appartementencomplexen geldt dat laadinfrastructuur soms achterblijft bij de vraag en huurders niet weten hoe ze aan een laadpunt moeten komen. De technische oplossingen voor parkeergarages en laadpunten op maaiveld zijn vaak gelijk aan die voor VvE’s. Deze partijen kunnen dan ook gebruik maken van de brochure voor VvE’s. Daarnaast is in de zomer van 2020 een openbaar toegankelijk onderzoek uitgevoerd naar </w:t>
      </w:r>
      <w:hyperlink r:id="rId25" w:history="1">
        <w:r w:rsidRPr="004C79D8">
          <w:rPr>
            <w:rStyle w:val="Hyperlink"/>
            <w:rFonts w:ascii="Avenir Next LT Pro Light" w:hAnsi="Avenir Next LT Pro Light"/>
          </w:rPr>
          <w:t>laadinfrastructuur voor woningcorporaties</w:t>
        </w:r>
      </w:hyperlink>
      <w:r w:rsidRPr="004C79D8">
        <w:rPr>
          <w:rFonts w:ascii="Avenir Next LT Pro Light" w:hAnsi="Avenir Next LT Pro Light"/>
        </w:rPr>
        <w:t xml:space="preserve">. </w:t>
      </w:r>
    </w:p>
    <w:p w14:paraId="368A1FD8" w14:textId="4286D677" w:rsidR="00D0532C" w:rsidRDefault="00D0532C" w:rsidP="000131EB">
      <w:pPr>
        <w:spacing w:line="276" w:lineRule="auto"/>
        <w:rPr>
          <w:rFonts w:ascii="Avenir Next LT Pro Light" w:hAnsi="Avenir Next LT Pro Light"/>
        </w:rPr>
      </w:pPr>
    </w:p>
    <w:tbl>
      <w:tblPr>
        <w:tblStyle w:val="Tabelraster"/>
        <w:tblW w:w="0" w:type="auto"/>
        <w:tblLook w:val="04A0" w:firstRow="1" w:lastRow="0" w:firstColumn="1" w:lastColumn="0" w:noHBand="0" w:noVBand="1"/>
      </w:tblPr>
      <w:tblGrid>
        <w:gridCol w:w="8495"/>
      </w:tblGrid>
      <w:tr w:rsidR="00D0532C" w14:paraId="4A4EC8F2" w14:textId="77777777" w:rsidTr="00D0532C">
        <w:tc>
          <w:tcPr>
            <w:tcW w:w="8645" w:type="dxa"/>
          </w:tcPr>
          <w:p w14:paraId="6BA06A90" w14:textId="77777777" w:rsidR="00D0532C" w:rsidRPr="00594BFA" w:rsidRDefault="00D0532C" w:rsidP="000131EB">
            <w:pPr>
              <w:spacing w:line="276" w:lineRule="auto"/>
              <w:rPr>
                <w:rFonts w:ascii="Avenir Next LT Pro Light" w:hAnsi="Avenir Next LT Pro Light"/>
                <w:b/>
                <w:bCs/>
                <w:sz w:val="18"/>
                <w:szCs w:val="20"/>
              </w:rPr>
            </w:pPr>
            <w:r w:rsidRPr="00594BFA">
              <w:rPr>
                <w:rFonts w:ascii="Avenir Next LT Pro Light" w:hAnsi="Avenir Next LT Pro Light"/>
                <w:b/>
                <w:bCs/>
                <w:sz w:val="18"/>
                <w:szCs w:val="20"/>
              </w:rPr>
              <w:t>Veilig laden in parkeergarages</w:t>
            </w:r>
          </w:p>
          <w:p w14:paraId="0882FF43" w14:textId="77777777" w:rsidR="009F2932" w:rsidRPr="00594BFA" w:rsidRDefault="009F2932" w:rsidP="000131EB">
            <w:pPr>
              <w:spacing w:line="276" w:lineRule="auto"/>
              <w:rPr>
                <w:rFonts w:ascii="Avenir Next LT Pro Light" w:hAnsi="Avenir Next LT Pro Light"/>
                <w:sz w:val="18"/>
                <w:szCs w:val="20"/>
              </w:rPr>
            </w:pPr>
            <w:r w:rsidRPr="00594BFA">
              <w:rPr>
                <w:rFonts w:ascii="Avenir Next LT Pro Light" w:hAnsi="Avenir Next LT Pro Light"/>
                <w:sz w:val="18"/>
                <w:szCs w:val="20"/>
              </w:rPr>
              <w:t>Er zijn veel vragen over het veilig laden van elektrische auto’s, bijvoorbeeld in parkeergarages. Uit onderzoek blijkt dat elektrische auto’s net zo veilig zijn als vergelijkbare brandstofauto’s. Ook zijn er zijn geen aanwijzingen uit de praktijk of uit</w:t>
            </w:r>
          </w:p>
          <w:p w14:paraId="7D3A5512" w14:textId="77777777" w:rsidR="003C64FA" w:rsidRDefault="009F2932" w:rsidP="000131EB">
            <w:pPr>
              <w:spacing w:line="276" w:lineRule="auto"/>
              <w:rPr>
                <w:rFonts w:ascii="Avenir Next LT Pro Light" w:hAnsi="Avenir Next LT Pro Light"/>
                <w:sz w:val="18"/>
                <w:szCs w:val="20"/>
              </w:rPr>
            </w:pPr>
            <w:r w:rsidRPr="00594BFA">
              <w:rPr>
                <w:rFonts w:ascii="Avenir Next LT Pro Light" w:hAnsi="Avenir Next LT Pro Light"/>
                <w:sz w:val="18"/>
                <w:szCs w:val="20"/>
              </w:rPr>
              <w:t>beschikbare studies en publicaties dat elektrische auto’s een vergroot risico op brand veroorzaken in parkeergarages.</w:t>
            </w:r>
            <w:r w:rsidR="003C64FA">
              <w:rPr>
                <w:rFonts w:ascii="Avenir Next LT Pro Light" w:hAnsi="Avenir Next LT Pro Light"/>
                <w:sz w:val="18"/>
                <w:szCs w:val="20"/>
              </w:rPr>
              <w:t xml:space="preserve"> </w:t>
            </w:r>
          </w:p>
          <w:p w14:paraId="1731FA0A" w14:textId="77777777" w:rsidR="003C64FA" w:rsidRDefault="003C64FA" w:rsidP="000131EB">
            <w:pPr>
              <w:spacing w:line="276" w:lineRule="auto"/>
              <w:rPr>
                <w:rFonts w:ascii="Avenir Next LT Pro Light" w:hAnsi="Avenir Next LT Pro Light"/>
                <w:sz w:val="18"/>
                <w:szCs w:val="20"/>
              </w:rPr>
            </w:pPr>
          </w:p>
          <w:p w14:paraId="0E2A2A91" w14:textId="193FC0E2" w:rsidR="009F2932" w:rsidRPr="00594BFA" w:rsidRDefault="003C64FA" w:rsidP="000131EB">
            <w:pPr>
              <w:spacing w:line="276" w:lineRule="auto"/>
              <w:rPr>
                <w:rFonts w:ascii="Avenir Next LT Pro Light" w:hAnsi="Avenir Next LT Pro Light"/>
                <w:sz w:val="18"/>
                <w:szCs w:val="20"/>
              </w:rPr>
            </w:pPr>
            <w:r>
              <w:rPr>
                <w:rFonts w:ascii="Avenir Next LT Pro Light" w:hAnsi="Avenir Next LT Pro Light"/>
                <w:sz w:val="18"/>
                <w:szCs w:val="20"/>
              </w:rPr>
              <w:t xml:space="preserve">Het knelpunt is de mate waarin een brand die ontstaan is bij een elektrisch voertuig in een ondergrondse parkeergarage is te blussen. </w:t>
            </w:r>
            <w:r w:rsidR="009F2932" w:rsidRPr="00594BFA">
              <w:rPr>
                <w:rFonts w:ascii="Avenir Next LT Pro Light" w:hAnsi="Avenir Next LT Pro Light"/>
                <w:sz w:val="18"/>
                <w:szCs w:val="20"/>
              </w:rPr>
              <w:t xml:space="preserve">Voor de veilige installatie van laadpunten in parkeergarages worden door de NAL </w:t>
            </w:r>
            <w:r>
              <w:rPr>
                <w:rFonts w:ascii="Avenir Next LT Pro Light" w:hAnsi="Avenir Next LT Pro Light"/>
                <w:sz w:val="18"/>
                <w:szCs w:val="20"/>
              </w:rPr>
              <w:t xml:space="preserve">daarom </w:t>
            </w:r>
            <w:r w:rsidR="009F2932" w:rsidRPr="00594BFA">
              <w:rPr>
                <w:rFonts w:ascii="Avenir Next LT Pro Light" w:hAnsi="Avenir Next LT Pro Light"/>
                <w:sz w:val="18"/>
                <w:szCs w:val="20"/>
              </w:rPr>
              <w:t>een aantal richtlijnen meegeven. Daarbij wordt de kanttekening gemaakt dat het voor elke parkeergarage maatwerk is vanwege de inrichting, de omgeving en</w:t>
            </w:r>
          </w:p>
          <w:p w14:paraId="15184813" w14:textId="77777777" w:rsidR="009F2932" w:rsidRPr="00594BFA" w:rsidRDefault="009F2932" w:rsidP="000131EB">
            <w:pPr>
              <w:spacing w:line="276" w:lineRule="auto"/>
              <w:rPr>
                <w:rFonts w:ascii="Avenir Next LT Pro Light" w:hAnsi="Avenir Next LT Pro Light"/>
                <w:sz w:val="18"/>
                <w:szCs w:val="20"/>
              </w:rPr>
            </w:pPr>
            <w:r w:rsidRPr="00594BFA">
              <w:rPr>
                <w:rFonts w:ascii="Avenir Next LT Pro Light" w:hAnsi="Avenir Next LT Pro Light"/>
                <w:sz w:val="18"/>
                <w:szCs w:val="20"/>
              </w:rPr>
              <w:t xml:space="preserve">het gebruik van de garage. </w:t>
            </w:r>
          </w:p>
          <w:p w14:paraId="76E69AB2" w14:textId="77777777" w:rsidR="003E6E44" w:rsidRPr="00594BFA" w:rsidRDefault="003E6E44" w:rsidP="000131EB">
            <w:pPr>
              <w:spacing w:line="276" w:lineRule="auto"/>
              <w:rPr>
                <w:rFonts w:ascii="Avenir Next LT Pro Light" w:hAnsi="Avenir Next LT Pro Light"/>
                <w:sz w:val="18"/>
                <w:szCs w:val="20"/>
              </w:rPr>
            </w:pPr>
          </w:p>
          <w:p w14:paraId="5510C918" w14:textId="285178FB" w:rsidR="003E6E44" w:rsidRPr="00594BFA" w:rsidRDefault="003E6E44" w:rsidP="000131EB">
            <w:pPr>
              <w:pStyle w:val="Lijstalinea"/>
              <w:numPr>
                <w:ilvl w:val="0"/>
                <w:numId w:val="41"/>
              </w:numPr>
              <w:spacing w:line="276" w:lineRule="auto"/>
              <w:rPr>
                <w:rFonts w:ascii="Avenir Next LT Pro Light" w:hAnsi="Avenir Next LT Pro Light"/>
                <w:sz w:val="18"/>
                <w:szCs w:val="20"/>
              </w:rPr>
            </w:pPr>
            <w:r w:rsidRPr="00594BFA">
              <w:rPr>
                <w:rFonts w:ascii="Avenir Next LT Pro Light" w:hAnsi="Avenir Next LT Pro Light"/>
                <w:sz w:val="18"/>
                <w:szCs w:val="20"/>
              </w:rPr>
              <w:t>Zorg dat de installatie van laadpunten gebeurt door een erkend elektrotechnisch installatiebedrijf. Bekende keurmerken en vakverenigingen zijn KvINL, Keurmerk Kwaliteitsvakman en Techniek NL. Deze elektromonteurs zien erop toe dat de installatie voldoet aan de wet- en regelgeving (bijvoorbeeld NEN 1010 normen).</w:t>
            </w:r>
          </w:p>
          <w:p w14:paraId="123699EA" w14:textId="4A4FCC9D" w:rsidR="003E6E44" w:rsidRPr="00594BFA" w:rsidRDefault="003E6E44" w:rsidP="000131EB">
            <w:pPr>
              <w:pStyle w:val="Lijstalinea"/>
              <w:numPr>
                <w:ilvl w:val="0"/>
                <w:numId w:val="40"/>
              </w:numPr>
              <w:spacing w:line="276" w:lineRule="auto"/>
              <w:rPr>
                <w:rFonts w:ascii="Avenir Next LT Pro Light" w:hAnsi="Avenir Next LT Pro Light"/>
                <w:sz w:val="18"/>
                <w:szCs w:val="20"/>
              </w:rPr>
            </w:pPr>
            <w:r w:rsidRPr="00594BFA">
              <w:rPr>
                <w:rFonts w:ascii="Avenir Next LT Pro Light" w:hAnsi="Avenir Next LT Pro Light"/>
                <w:sz w:val="18"/>
                <w:szCs w:val="20"/>
              </w:rPr>
              <w:t>Installeer alleen Mode 3 (conform IEC 62196 en IEC 61851) laadpunten. Mode 3 laden is gecontroleerd laden waarbij er communicatie tussen auto en laadpunt plaatsvindt. Dit reduceert de kans op storingen.</w:t>
            </w:r>
          </w:p>
          <w:p w14:paraId="53BB5AC2" w14:textId="50DAC2EC" w:rsidR="003E6E44" w:rsidRPr="00594BFA" w:rsidRDefault="003E6E44" w:rsidP="000131EB">
            <w:pPr>
              <w:pStyle w:val="Lijstalinea"/>
              <w:numPr>
                <w:ilvl w:val="0"/>
                <w:numId w:val="40"/>
              </w:numPr>
              <w:spacing w:line="276" w:lineRule="auto"/>
              <w:rPr>
                <w:rFonts w:ascii="Avenir Next LT Pro Light" w:hAnsi="Avenir Next LT Pro Light"/>
                <w:sz w:val="18"/>
                <w:szCs w:val="20"/>
              </w:rPr>
            </w:pPr>
            <w:r w:rsidRPr="00594BFA">
              <w:rPr>
                <w:rFonts w:ascii="Avenir Next LT Pro Light" w:hAnsi="Avenir Next LT Pro Light"/>
                <w:sz w:val="18"/>
                <w:szCs w:val="20"/>
              </w:rPr>
              <w:t>Plaats de laadpunten bij voorkeur bij een ingang of uitgang.</w:t>
            </w:r>
          </w:p>
          <w:p w14:paraId="672F635F" w14:textId="72676617" w:rsidR="003E6E44" w:rsidRPr="00594BFA" w:rsidRDefault="003E6E44" w:rsidP="000131EB">
            <w:pPr>
              <w:pStyle w:val="Lijstalinea"/>
              <w:numPr>
                <w:ilvl w:val="0"/>
                <w:numId w:val="40"/>
              </w:numPr>
              <w:spacing w:line="276" w:lineRule="auto"/>
              <w:rPr>
                <w:rFonts w:ascii="Avenir Next LT Pro Light" w:hAnsi="Avenir Next LT Pro Light"/>
                <w:sz w:val="18"/>
                <w:szCs w:val="20"/>
              </w:rPr>
            </w:pPr>
            <w:r w:rsidRPr="00594BFA">
              <w:rPr>
                <w:rFonts w:ascii="Avenir Next LT Pro Light" w:hAnsi="Avenir Next LT Pro Light"/>
                <w:sz w:val="18"/>
                <w:szCs w:val="20"/>
              </w:rPr>
              <w:t>Plaats het laadpunt op een plek waar het niet kwetsbaar is voor aanrijding of zorg voor aanrijdbeveiliging.</w:t>
            </w:r>
          </w:p>
          <w:p w14:paraId="14974E37" w14:textId="50B835CF" w:rsidR="003E6E44" w:rsidRPr="00594BFA" w:rsidRDefault="003E6E44" w:rsidP="000131EB">
            <w:pPr>
              <w:pStyle w:val="Lijstalinea"/>
              <w:numPr>
                <w:ilvl w:val="0"/>
                <w:numId w:val="40"/>
              </w:numPr>
              <w:spacing w:line="276" w:lineRule="auto"/>
              <w:rPr>
                <w:rFonts w:ascii="Avenir Next LT Pro Light" w:hAnsi="Avenir Next LT Pro Light"/>
                <w:sz w:val="18"/>
                <w:szCs w:val="20"/>
              </w:rPr>
            </w:pPr>
            <w:r w:rsidRPr="00594BFA">
              <w:rPr>
                <w:rFonts w:ascii="Avenir Next LT Pro Light" w:hAnsi="Avenir Next LT Pro Light"/>
                <w:sz w:val="18"/>
                <w:szCs w:val="20"/>
              </w:rPr>
              <w:t>Plaats bij de hoofdentree van de parkeergarage of een andere strategische plaats een noodstop waarmee in één keer alle laadpunten kunnen worden uitgeschakeld (voorkom hierbij misbruik door middel van bijvoorbeeld cameratoezicht en/of een boete).</w:t>
            </w:r>
          </w:p>
          <w:p w14:paraId="1EF64446" w14:textId="33EDB6F3" w:rsidR="003E6E44" w:rsidRPr="00594BFA" w:rsidRDefault="003E6E44" w:rsidP="000131EB">
            <w:pPr>
              <w:pStyle w:val="Lijstalinea"/>
              <w:numPr>
                <w:ilvl w:val="0"/>
                <w:numId w:val="40"/>
              </w:numPr>
              <w:spacing w:line="276" w:lineRule="auto"/>
              <w:rPr>
                <w:rFonts w:ascii="Avenir Next LT Pro Light" w:hAnsi="Avenir Next LT Pro Light"/>
                <w:sz w:val="18"/>
                <w:szCs w:val="20"/>
              </w:rPr>
            </w:pPr>
            <w:r w:rsidRPr="00594BFA">
              <w:rPr>
                <w:rFonts w:ascii="Avenir Next LT Pro Light" w:hAnsi="Avenir Next LT Pro Light"/>
                <w:sz w:val="18"/>
                <w:szCs w:val="20"/>
              </w:rPr>
              <w:t>Geef bij de hoofdingang of een andere strategische plaats aan waar laadpunten zich bevinden in de parkeergarage.</w:t>
            </w:r>
          </w:p>
          <w:p w14:paraId="6F5D59BD" w14:textId="6EF50437" w:rsidR="00594BFA" w:rsidRPr="00594BFA" w:rsidRDefault="003E6E44" w:rsidP="000131EB">
            <w:pPr>
              <w:pStyle w:val="Lijstalinea"/>
              <w:numPr>
                <w:ilvl w:val="0"/>
                <w:numId w:val="40"/>
              </w:numPr>
              <w:spacing w:line="276" w:lineRule="auto"/>
              <w:rPr>
                <w:rFonts w:ascii="Avenir Next LT Pro Light" w:hAnsi="Avenir Next LT Pro Light"/>
                <w:sz w:val="18"/>
                <w:szCs w:val="20"/>
              </w:rPr>
            </w:pPr>
            <w:r w:rsidRPr="00594BFA">
              <w:rPr>
                <w:rFonts w:ascii="Avenir Next LT Pro Light" w:hAnsi="Avenir Next LT Pro Light"/>
                <w:sz w:val="18"/>
                <w:szCs w:val="20"/>
              </w:rPr>
              <w:t>Zorg voor een heldere communicatie over veilig gebruik/niet-beschadigde laadkabels.</w:t>
            </w:r>
          </w:p>
          <w:p w14:paraId="0D3F23D8" w14:textId="3DDB4211" w:rsidR="00594BFA" w:rsidRPr="00594BFA" w:rsidRDefault="00594BFA" w:rsidP="000131EB">
            <w:pPr>
              <w:spacing w:line="276" w:lineRule="auto"/>
              <w:rPr>
                <w:rFonts w:ascii="Avenir Next LT Pro Light" w:hAnsi="Avenir Next LT Pro Light"/>
              </w:rPr>
            </w:pPr>
            <w:r w:rsidRPr="00594BFA">
              <w:rPr>
                <w:rFonts w:ascii="Avenir Next LT Pro Light" w:hAnsi="Avenir Next LT Pro Light"/>
                <w:sz w:val="18"/>
                <w:szCs w:val="20"/>
              </w:rPr>
              <w:t xml:space="preserve">Zie voor meer informatie de website van de </w:t>
            </w:r>
            <w:hyperlink r:id="rId26" w:history="1">
              <w:r w:rsidRPr="00594BFA">
                <w:rPr>
                  <w:rStyle w:val="Hyperlink"/>
                  <w:rFonts w:ascii="Avenir Next LT Pro Light" w:hAnsi="Avenir Next LT Pro Light"/>
                  <w:sz w:val="18"/>
                  <w:szCs w:val="20"/>
                </w:rPr>
                <w:t>Nationale Agenda Laadinfrastructuur</w:t>
              </w:r>
            </w:hyperlink>
            <w:r w:rsidRPr="00594BFA">
              <w:rPr>
                <w:rFonts w:ascii="Avenir Next LT Pro Light" w:hAnsi="Avenir Next LT Pro Light"/>
                <w:sz w:val="18"/>
                <w:szCs w:val="20"/>
              </w:rPr>
              <w:t>.</w:t>
            </w:r>
          </w:p>
        </w:tc>
      </w:tr>
    </w:tbl>
    <w:p w14:paraId="49DE6F51" w14:textId="77777777" w:rsidR="00D0532C" w:rsidRPr="00D0532C" w:rsidRDefault="00D0532C" w:rsidP="000131EB">
      <w:pPr>
        <w:spacing w:line="276" w:lineRule="auto"/>
        <w:rPr>
          <w:rFonts w:ascii="Avenir Next LT Pro Light" w:hAnsi="Avenir Next LT Pro Light"/>
        </w:rPr>
      </w:pPr>
    </w:p>
    <w:p w14:paraId="2682758E" w14:textId="77777777" w:rsidR="004C79D8" w:rsidRPr="004C79D8" w:rsidRDefault="004C79D8" w:rsidP="000131EB">
      <w:pPr>
        <w:pStyle w:val="Lijstalinea"/>
        <w:spacing w:line="276" w:lineRule="auto"/>
        <w:ind w:left="0"/>
        <w:rPr>
          <w:rFonts w:ascii="Avenir Next LT Pro Light" w:hAnsi="Avenir Next LT Pro Light"/>
        </w:rPr>
      </w:pPr>
      <w:r w:rsidRPr="004C79D8">
        <w:rPr>
          <w:rFonts w:ascii="Avenir Next LT Pro Light" w:hAnsi="Avenir Next LT Pro Light"/>
        </w:rPr>
        <w:t xml:space="preserve">Gemeenten kunnen bewoners van appartementen en beheerders stimuleren door te wijzen op de juiste informatie. MRA-Elektrisch werkt samen met de gemeenten aan een plan van aanpak waarin VvE’s, </w:t>
      </w:r>
      <w:r w:rsidRPr="004C79D8">
        <w:rPr>
          <w:rFonts w:ascii="Avenir Next LT Pro Light" w:hAnsi="Avenir Next LT Pro Light"/>
        </w:rPr>
        <w:lastRenderedPageBreak/>
        <w:t xml:space="preserve">woningcorporaties, bewoners en verhuurders goede informatie en voorbeelden worden geboden, om aan de slag te gaan met de realisatie van laadinfrastructuur.  </w:t>
      </w:r>
      <w:r>
        <w:rPr>
          <w:rFonts w:ascii="Avenir Next LT Pro Light" w:hAnsi="Avenir Next LT Pro Light"/>
        </w:rPr>
        <w:br/>
      </w:r>
    </w:p>
    <w:p w14:paraId="75E4935D" w14:textId="2406655C" w:rsidR="004C79D8" w:rsidRDefault="003258C3" w:rsidP="000131EB">
      <w:pPr>
        <w:spacing w:after="0" w:line="276" w:lineRule="auto"/>
        <w:rPr>
          <w:rFonts w:ascii="Avenir Next LT Pro Light" w:hAnsi="Avenir Next LT Pro Light"/>
          <w:i/>
          <w:iCs/>
          <w:sz w:val="18"/>
          <w:szCs w:val="20"/>
        </w:rPr>
      </w:pPr>
      <w:r>
        <w:rPr>
          <w:noProof/>
        </w:rPr>
        <w:drawing>
          <wp:inline distT="0" distB="0" distL="0" distR="0" wp14:anchorId="5C444288" wp14:editId="4F3E7E27">
            <wp:extent cx="5400675" cy="3041015"/>
            <wp:effectExtent l="0" t="0" r="9525"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3041015"/>
                    </a:xfrm>
                    <a:prstGeom prst="rect">
                      <a:avLst/>
                    </a:prstGeom>
                  </pic:spPr>
                </pic:pic>
              </a:graphicData>
            </a:graphic>
          </wp:inline>
        </w:drawing>
      </w:r>
      <w:r w:rsidR="00CA64D5" w:rsidRPr="003258C3">
        <w:rPr>
          <w:rFonts w:ascii="Avenir Next LT Pro Light" w:hAnsi="Avenir Next LT Pro Light"/>
          <w:lang w:val="it-IT"/>
        </w:rPr>
        <w:br/>
      </w:r>
      <w:r w:rsidR="004C79D8" w:rsidRPr="003258C3">
        <w:rPr>
          <w:rFonts w:ascii="Avenir Next LT Pro Light" w:hAnsi="Avenir Next LT Pro Light"/>
          <w:sz w:val="18"/>
          <w:szCs w:val="20"/>
          <w:lang w:val="it-IT"/>
        </w:rPr>
        <w:t xml:space="preserve">Bron: </w:t>
      </w:r>
      <w:r w:rsidRPr="003258C3">
        <w:rPr>
          <w:rFonts w:ascii="Avenir Next LT Pro Light" w:hAnsi="Avenir Next LT Pro Light"/>
          <w:sz w:val="18"/>
          <w:szCs w:val="20"/>
          <w:lang w:val="it-IT"/>
        </w:rPr>
        <w:t xml:space="preserve">RVO, </w:t>
      </w:r>
      <w:r w:rsidR="004C79D8" w:rsidRPr="003258C3">
        <w:rPr>
          <w:rFonts w:ascii="Avenir Next LT Pro Light" w:hAnsi="Avenir Next LT Pro Light"/>
          <w:sz w:val="18"/>
          <w:szCs w:val="20"/>
          <w:lang w:val="it-IT"/>
        </w:rPr>
        <w:t>MRA-</w:t>
      </w:r>
      <w:r w:rsidR="00F82F07" w:rsidRPr="003258C3">
        <w:rPr>
          <w:rFonts w:ascii="Avenir Next LT Pro Light" w:hAnsi="Avenir Next LT Pro Light"/>
          <w:sz w:val="18"/>
          <w:szCs w:val="20"/>
          <w:lang w:val="it-IT"/>
        </w:rPr>
        <w:t>E</w:t>
      </w:r>
      <w:r w:rsidR="004C79D8" w:rsidRPr="003258C3">
        <w:rPr>
          <w:rFonts w:ascii="Avenir Next LT Pro Light" w:hAnsi="Avenir Next LT Pro Light"/>
          <w:sz w:val="18"/>
          <w:szCs w:val="20"/>
          <w:lang w:val="it-IT"/>
        </w:rPr>
        <w:t xml:space="preserve"> &amp; G4 (</w:t>
      </w:r>
      <w:r w:rsidRPr="003258C3">
        <w:rPr>
          <w:rFonts w:ascii="Avenir Next LT Pro Light" w:hAnsi="Avenir Next LT Pro Light"/>
          <w:sz w:val="18"/>
          <w:szCs w:val="20"/>
          <w:lang w:val="it-IT"/>
        </w:rPr>
        <w:t>2021</w:t>
      </w:r>
      <w:r w:rsidR="004C79D8" w:rsidRPr="003258C3">
        <w:rPr>
          <w:rFonts w:ascii="Avenir Next LT Pro Light" w:hAnsi="Avenir Next LT Pro Light"/>
          <w:sz w:val="18"/>
          <w:szCs w:val="20"/>
          <w:lang w:val="it-IT"/>
        </w:rPr>
        <w:t xml:space="preserve">). </w:t>
      </w:r>
      <w:r w:rsidR="004C79D8" w:rsidRPr="0044473A">
        <w:rPr>
          <w:rFonts w:ascii="Avenir Next LT Pro Light" w:hAnsi="Avenir Next LT Pro Light"/>
          <w:sz w:val="18"/>
          <w:szCs w:val="20"/>
        </w:rPr>
        <w:t>Laadoplossingen voor elektrische auto’s binnen de VvE.</w:t>
      </w:r>
      <w:r w:rsidR="009A6CC3" w:rsidRPr="0044473A">
        <w:rPr>
          <w:rFonts w:ascii="Avenir Next LT Pro Light" w:hAnsi="Avenir Next LT Pro Light"/>
          <w:sz w:val="18"/>
          <w:szCs w:val="20"/>
        </w:rPr>
        <w:t xml:space="preserve"> </w:t>
      </w:r>
    </w:p>
    <w:p w14:paraId="0BBE59F2" w14:textId="77777777" w:rsidR="003258C3" w:rsidRPr="004C79D8" w:rsidRDefault="003258C3" w:rsidP="000131EB">
      <w:pPr>
        <w:spacing w:after="0" w:line="276" w:lineRule="auto"/>
        <w:rPr>
          <w:rFonts w:ascii="Avenir Next LT Pro Light" w:hAnsi="Avenir Next LT Pro Light"/>
        </w:rPr>
      </w:pPr>
    </w:p>
    <w:p w14:paraId="5CF63B43" w14:textId="77777777" w:rsidR="004C79D8" w:rsidRPr="004C79D8" w:rsidRDefault="004C79D8" w:rsidP="000131EB">
      <w:pPr>
        <w:spacing w:after="0" w:line="276" w:lineRule="auto"/>
        <w:rPr>
          <w:rFonts w:ascii="Avenir Next LT Pro Light" w:hAnsi="Avenir Next LT Pro Light"/>
          <w:b/>
        </w:rPr>
      </w:pPr>
      <w:r w:rsidRPr="004C79D8">
        <w:rPr>
          <w:rFonts w:ascii="Avenir Next LT Pro Light" w:hAnsi="Avenir Next LT Pro Light"/>
          <w:bCs/>
          <w:i/>
          <w:iCs/>
        </w:rPr>
        <w:t>Werken</w:t>
      </w:r>
      <w:r w:rsidRPr="004C79D8">
        <w:rPr>
          <w:rFonts w:ascii="Avenir Next LT Pro Light" w:hAnsi="Avenir Next LT Pro Light"/>
        </w:rPr>
        <w:br/>
        <w:t xml:space="preserve">Bij bedrijven is de eigendomssituatie van de gebouwen en parkeergelegenheden vaak bepalend voor het gemak waarmee laadinfrastructuur kan worden gerealiseerd. Voor de verduurzamingsopgave van bedrijven wordt onderscheid gemaakt tussen bedrijven met een eigen terrein, bedrijven met een gedeeld terrein en logistieke partijen die het primaire bedrijfsproces willen verduurzamen. </w:t>
      </w:r>
    </w:p>
    <w:p w14:paraId="6D4C6981" w14:textId="77777777" w:rsidR="004C79D8" w:rsidRDefault="004C79D8" w:rsidP="000131EB">
      <w:pPr>
        <w:pStyle w:val="Lijstalinea"/>
        <w:numPr>
          <w:ilvl w:val="0"/>
          <w:numId w:val="35"/>
        </w:numPr>
        <w:spacing w:line="276" w:lineRule="auto"/>
        <w:rPr>
          <w:rFonts w:ascii="Avenir Next LT Pro Light" w:hAnsi="Avenir Next LT Pro Light"/>
        </w:rPr>
      </w:pPr>
      <w:r w:rsidRPr="004C79D8">
        <w:rPr>
          <w:rFonts w:ascii="Avenir Next LT Pro Light" w:hAnsi="Avenir Next LT Pro Light"/>
        </w:rPr>
        <w:t>Eigen terrein</w:t>
      </w:r>
      <w:r>
        <w:rPr>
          <w:rFonts w:ascii="Avenir Next LT Pro Light" w:hAnsi="Avenir Next LT Pro Light"/>
        </w:rPr>
        <w:br/>
      </w:r>
      <w:r w:rsidRPr="004C79D8">
        <w:rPr>
          <w:rFonts w:ascii="Avenir Next LT Pro Light" w:hAnsi="Avenir Next LT Pro Light"/>
        </w:rPr>
        <w:t>Bedrijven kunnen op hun eigen terrein laadinfrastructuur plaatsen die zij (doorgaans) beperkt toegankelijk maken voor andere partijen. Bedrijven met een eigen terrein zonder andere huurders bepalen zelf het tempo voor de verduurzaming van het wagenpark en d</w:t>
      </w:r>
      <w:r w:rsidR="00AA60AC">
        <w:rPr>
          <w:rFonts w:ascii="Avenir Next LT Pro Light" w:hAnsi="Avenir Next LT Pro Light"/>
        </w:rPr>
        <w:t>e</w:t>
      </w:r>
      <w:r w:rsidRPr="004C79D8">
        <w:rPr>
          <w:rFonts w:ascii="Avenir Next LT Pro Light" w:hAnsi="Avenir Next LT Pro Light"/>
        </w:rPr>
        <w:t xml:space="preserve"> uitbreiding van de laadinfrastructuur. </w:t>
      </w:r>
    </w:p>
    <w:p w14:paraId="277876D8" w14:textId="77777777" w:rsidR="004C79D8" w:rsidRDefault="00AA60AC" w:rsidP="000131EB">
      <w:pPr>
        <w:pStyle w:val="Lijstalinea"/>
        <w:numPr>
          <w:ilvl w:val="0"/>
          <w:numId w:val="35"/>
        </w:numPr>
        <w:spacing w:line="276" w:lineRule="auto"/>
        <w:rPr>
          <w:rFonts w:ascii="Avenir Next LT Pro Light" w:hAnsi="Avenir Next LT Pro Light"/>
        </w:rPr>
      </w:pPr>
      <w:r>
        <w:rPr>
          <w:rFonts w:ascii="Avenir Next LT Pro Light" w:hAnsi="Avenir Next LT Pro Light"/>
        </w:rPr>
        <w:t>Gedeeld terrein</w:t>
      </w:r>
      <w:r w:rsidR="004C79D8">
        <w:rPr>
          <w:rFonts w:ascii="Avenir Next LT Pro Light" w:hAnsi="Avenir Next LT Pro Light"/>
        </w:rPr>
        <w:br/>
      </w:r>
      <w:r w:rsidR="004C79D8" w:rsidRPr="004C79D8">
        <w:rPr>
          <w:rFonts w:ascii="Avenir Next LT Pro Light" w:hAnsi="Avenir Next LT Pro Light"/>
        </w:rPr>
        <w:t xml:space="preserve">Bedrijven die een bedrijfsruimte en parkeerplekken huren in een bedrijfsverzamelgebouw met meerdere huurders ondervinden vaak wat meer moeite bij de realisatie van voldoende laadinfrastructuur. Zij moeten in samenspraak met de verhuurder en de overige huurders tot een gebruiksvriendelijke laadinfrastructuur komen. </w:t>
      </w:r>
    </w:p>
    <w:p w14:paraId="53741568" w14:textId="77777777" w:rsidR="004C79D8" w:rsidRDefault="004C79D8" w:rsidP="000131EB">
      <w:pPr>
        <w:pStyle w:val="Lijstalinea"/>
        <w:numPr>
          <w:ilvl w:val="0"/>
          <w:numId w:val="35"/>
        </w:numPr>
        <w:spacing w:line="276" w:lineRule="auto"/>
        <w:rPr>
          <w:rFonts w:ascii="Avenir Next LT Pro Light" w:hAnsi="Avenir Next LT Pro Light"/>
        </w:rPr>
      </w:pPr>
      <w:r w:rsidRPr="004C79D8">
        <w:rPr>
          <w:rFonts w:ascii="Avenir Next LT Pro Light" w:hAnsi="Avenir Next LT Pro Light"/>
        </w:rPr>
        <w:t>Primair proces</w:t>
      </w:r>
      <w:r w:rsidR="00AA60AC">
        <w:rPr>
          <w:rFonts w:ascii="Avenir Next LT Pro Light" w:hAnsi="Avenir Next LT Pro Light"/>
        </w:rPr>
        <w:t xml:space="preserve"> verduurzamen</w:t>
      </w:r>
      <w:r>
        <w:rPr>
          <w:rFonts w:ascii="Avenir Next LT Pro Light" w:hAnsi="Avenir Next LT Pro Light"/>
        </w:rPr>
        <w:br/>
      </w:r>
      <w:r w:rsidR="00AA60AC">
        <w:rPr>
          <w:rFonts w:ascii="Avenir Next LT Pro Light" w:hAnsi="Avenir Next LT Pro Light"/>
        </w:rPr>
        <w:t>Hierbij gaat het om</w:t>
      </w:r>
      <w:r w:rsidRPr="004C79D8">
        <w:rPr>
          <w:rFonts w:ascii="Avenir Next LT Pro Light" w:hAnsi="Avenir Next LT Pro Light"/>
        </w:rPr>
        <w:t xml:space="preserve"> logistieke bedrijven die voor de eigen vloot bedrijfsvoertuigen laadpalen realiseren. Omdat het logistieke proces bij dit type partijen van groot belang is voor het succes van het bedrijf, worden er vaak zwaardere eisen gesteld aan de laadinfrastructuur. Verduurzaming van bedrijfsvoertuigen en logistiek vraagt om een maatwerkoplossing op basis van de voertuigen en de inzet.</w:t>
      </w:r>
    </w:p>
    <w:p w14:paraId="276627ED" w14:textId="77777777" w:rsidR="00251887" w:rsidRDefault="00251887" w:rsidP="000131EB">
      <w:pPr>
        <w:spacing w:after="0" w:line="276" w:lineRule="auto"/>
        <w:rPr>
          <w:rFonts w:ascii="Avenir Next LT Pro Light" w:hAnsi="Avenir Next LT Pro Light"/>
        </w:rPr>
      </w:pPr>
    </w:p>
    <w:p w14:paraId="15166D37" w14:textId="77777777" w:rsidR="00251887" w:rsidRDefault="00251887" w:rsidP="000131EB">
      <w:pPr>
        <w:spacing w:after="0" w:line="276" w:lineRule="auto"/>
        <w:rPr>
          <w:rFonts w:ascii="Avenir Next LT Pro Light" w:hAnsi="Avenir Next LT Pro Light"/>
        </w:rPr>
      </w:pPr>
      <w:r>
        <w:rPr>
          <w:rFonts w:ascii="Avenir Next LT Pro Light" w:hAnsi="Avenir Next LT Pro Light"/>
        </w:rPr>
        <w:lastRenderedPageBreak/>
        <w:t>Gemeenten en andere overheden kunnen bedrijven bijstaan in het creëren van voldoende laadinfrastructuur voor hun werknemers, bedrijfsvloot en bezoekers. Enerzijds kan dat in samenwerkingsverband met andere overheden of brancheorganisatie met generieke hulpmiddelen zoals een handreiking realisatie laadinfrastructuur bij kantoren of een business case tool voor de verduurzaming van een bedrijfswagenpark. Anderzijds kan dat met specifieke en gerichte maatregelen om een bepaalde sector of gebied te ondersteunen in de verduurzaming, bijvoorbeeld door te informeren over de mogelijkheden, samenwerking te faciliteren, te stimuleren middels subsidieregelingen of door middel van vraagbundeling middels een collectieve inkoop.</w:t>
      </w:r>
    </w:p>
    <w:p w14:paraId="1868A0B6" w14:textId="77777777" w:rsidR="00882FF3" w:rsidRDefault="00882FF3" w:rsidP="000131EB">
      <w:pPr>
        <w:spacing w:after="0" w:line="276" w:lineRule="auto"/>
        <w:rPr>
          <w:rFonts w:ascii="Avenir Next LT Pro Light" w:hAnsi="Avenir Next LT Pro Light"/>
        </w:rPr>
      </w:pPr>
    </w:p>
    <w:p w14:paraId="00EA35C5" w14:textId="3D1DA659" w:rsidR="00882FF3" w:rsidRPr="00251887" w:rsidRDefault="00882FF3" w:rsidP="000131EB">
      <w:pPr>
        <w:spacing w:after="0" w:line="276" w:lineRule="auto"/>
        <w:rPr>
          <w:rFonts w:ascii="Avenir Next LT Pro Light" w:hAnsi="Avenir Next LT Pro Light"/>
        </w:rPr>
      </w:pPr>
      <w:r>
        <w:rPr>
          <w:rFonts w:ascii="Avenir Next LT Pro Light" w:hAnsi="Avenir Next LT Pro Light"/>
        </w:rPr>
        <w:t xml:space="preserve">Daarnaast is </w:t>
      </w:r>
      <w:r w:rsidR="00AB2FAC">
        <w:rPr>
          <w:rFonts w:ascii="Avenir Next LT Pro Light" w:hAnsi="Avenir Next LT Pro Light"/>
        </w:rPr>
        <w:t>in het bouwbesluit</w:t>
      </w:r>
      <w:r>
        <w:rPr>
          <w:rFonts w:ascii="Avenir Next LT Pro Light" w:hAnsi="Avenir Next LT Pro Light"/>
        </w:rPr>
        <w:t xml:space="preserve"> een verplichting vastgelegd dat nieuwe (of ingrijpende gerenoveerde) utiliteitsgebouwen met meer dan 10 parkeervakken op hetzelfde terrein, minimaal 1 oplaadpunt voor elektrische voertuigen moeten realiseren. Ook moet er leidinginfrastructuur worden aangelegd voor een op de vijf parkeervakken ter voorbereiding op elektrische laadinfrastructuur. Voor bestaande utiliteitsgebouwen met meer dan 20 parkeervakken geldt vanaf 2025 dat er minimaal 1 oplaadpunt voor elektrische auto’s moet zijn aangelegd.</w:t>
      </w:r>
      <w:r w:rsidR="00FB4347">
        <w:rPr>
          <w:rFonts w:ascii="Avenir Next LT Pro Light" w:hAnsi="Avenir Next LT Pro Light"/>
        </w:rPr>
        <w:t xml:space="preserve"> </w:t>
      </w:r>
      <w:r>
        <w:rPr>
          <w:rFonts w:ascii="Avenir Next LT Pro Light" w:hAnsi="Avenir Next LT Pro Light"/>
        </w:rPr>
        <w:t xml:space="preserve">Aanvullend kunnen gemeenten deze ontwikkeling stimuleren door </w:t>
      </w:r>
      <w:r w:rsidRPr="004C79D8">
        <w:rPr>
          <w:rFonts w:ascii="Avenir Next LT Pro Light" w:hAnsi="Avenir Next LT Pro Light"/>
        </w:rPr>
        <w:t xml:space="preserve">het stellen van eisen bij vergunningverlening. </w:t>
      </w:r>
    </w:p>
    <w:p w14:paraId="341D7D44" w14:textId="77777777" w:rsidR="004C79D8" w:rsidRPr="004C79D8" w:rsidRDefault="004C79D8" w:rsidP="000131EB">
      <w:pPr>
        <w:spacing w:after="0" w:line="276" w:lineRule="auto"/>
        <w:rPr>
          <w:rFonts w:ascii="Avenir Next LT Pro Light" w:hAnsi="Avenir Next LT Pro Light"/>
        </w:rPr>
      </w:pPr>
    </w:p>
    <w:p w14:paraId="6A5B641B" w14:textId="43924B43" w:rsidR="004C79D8" w:rsidRDefault="004C79D8" w:rsidP="000131EB">
      <w:pPr>
        <w:spacing w:after="0" w:line="276" w:lineRule="auto"/>
        <w:rPr>
          <w:rFonts w:ascii="Avenir Next LT Pro Light" w:hAnsi="Avenir Next LT Pro Light"/>
        </w:rPr>
      </w:pPr>
      <w:r w:rsidRPr="004C79D8">
        <w:rPr>
          <w:rFonts w:ascii="Avenir Next LT Pro Light" w:hAnsi="Avenir Next LT Pro Light"/>
          <w:bCs/>
          <w:i/>
          <w:iCs/>
        </w:rPr>
        <w:t>Bezoeken</w:t>
      </w:r>
      <w:r w:rsidRPr="004C79D8">
        <w:rPr>
          <w:rFonts w:ascii="Avenir Next LT Pro Light" w:hAnsi="Avenir Next LT Pro Light"/>
        </w:rPr>
        <w:br/>
        <w:t>Bij bezoekerslocaties kan het vanwege het verdienpotentieel aantrekkelijk zijn om als onderdeel van de dienstverlening laden aan te bieden. De gekozen type laadinfrastructuur en snelheid van laden is afhankelijk van de aard en gemiddelde duur van het bezoek. Dit is per type locatie verschillend. Te lage laadsnelheid kan bij kort bezoek nauwelijks zin hebben, terwijl hoge snelheid weliswaar nut heeft, maar een te hoge investering vraagt. Locaties met een korte verblijfsduur kunnen, mits gunstig gelegen in het laadnetwerk, kansrijk zijn voor commerciële snelladers. Op andere locaties met een verblijfsduur van meer dan 1 uur kunnen beter reguliere laadpunten aangeboden worden.</w:t>
      </w:r>
    </w:p>
    <w:p w14:paraId="4F1C534F" w14:textId="77777777" w:rsidR="001C40D4" w:rsidRPr="004C79D8" w:rsidRDefault="001C40D4" w:rsidP="000131EB">
      <w:pPr>
        <w:spacing w:after="0" w:line="276" w:lineRule="auto"/>
        <w:rPr>
          <w:rFonts w:ascii="Avenir Next LT Pro Light" w:hAnsi="Avenir Next LT Pro Light"/>
        </w:rPr>
      </w:pPr>
    </w:p>
    <w:p w14:paraId="0CB4EAA6" w14:textId="77777777" w:rsidR="004C79D8" w:rsidRPr="004C79D8" w:rsidRDefault="004C79D8" w:rsidP="000131EB">
      <w:pPr>
        <w:pStyle w:val="Lijstalinea"/>
        <w:numPr>
          <w:ilvl w:val="0"/>
          <w:numId w:val="36"/>
        </w:numPr>
        <w:spacing w:line="276" w:lineRule="auto"/>
        <w:rPr>
          <w:rFonts w:ascii="Avenir Next LT Pro Light" w:hAnsi="Avenir Next LT Pro Light"/>
        </w:rPr>
      </w:pPr>
      <w:r w:rsidRPr="004C79D8">
        <w:rPr>
          <w:rFonts w:ascii="Avenir Next LT Pro Light" w:hAnsi="Avenir Next LT Pro Light"/>
        </w:rPr>
        <w:t>Bedrijven – bezoekerslocaties</w:t>
      </w:r>
    </w:p>
    <w:p w14:paraId="139A99D4" w14:textId="77777777" w:rsidR="004C79D8" w:rsidRDefault="004C79D8" w:rsidP="000131EB">
      <w:pPr>
        <w:spacing w:after="0" w:line="276" w:lineRule="auto"/>
        <w:rPr>
          <w:rFonts w:ascii="Avenir Next LT Pro Light" w:hAnsi="Avenir Next LT Pro Light"/>
        </w:rPr>
      </w:pPr>
      <w:r w:rsidRPr="004C79D8">
        <w:rPr>
          <w:rFonts w:ascii="Avenir Next LT Pro Light" w:hAnsi="Avenir Next LT Pro Light"/>
        </w:rPr>
        <w:t xml:space="preserve">Bedrijven waarbij het ontvangen van bezoekers hoort bij de </w:t>
      </w:r>
      <w:r w:rsidRPr="00AA60AC">
        <w:rPr>
          <w:rFonts w:ascii="Avenir Next LT Pro Light" w:hAnsi="Avenir Next LT Pro Light"/>
          <w:i/>
          <w:iCs/>
        </w:rPr>
        <w:t>core business</w:t>
      </w:r>
      <w:r w:rsidRPr="004C79D8">
        <w:rPr>
          <w:rFonts w:ascii="Avenir Next LT Pro Light" w:hAnsi="Avenir Next LT Pro Light"/>
        </w:rPr>
        <w:t xml:space="preserve"> van het bedrijf zijn bijvoorbeeld winkels, horeca, musea, bioscopen. Het kan vanwege het verdienpotentieel aantrekkelijk zijn om als service laden aan te bieden. Hierbij gelden dezelfde afwegingen en dus ook dezelfde obstakels, als voor andere bedrijven met eigen terrein. Bedrijven kunnen op eigen terrein een commerciële partij hiervoor vragen.</w:t>
      </w:r>
    </w:p>
    <w:p w14:paraId="2D0C2459" w14:textId="77777777" w:rsidR="001C40D4" w:rsidRDefault="001C40D4" w:rsidP="000131EB">
      <w:pPr>
        <w:spacing w:after="0" w:line="276" w:lineRule="auto"/>
        <w:rPr>
          <w:rFonts w:ascii="Avenir Next LT Pro Light" w:hAnsi="Avenir Next LT Pro Light"/>
        </w:rPr>
      </w:pPr>
    </w:p>
    <w:p w14:paraId="45DB2500" w14:textId="72727945" w:rsidR="004C79D8" w:rsidRPr="004C79D8" w:rsidRDefault="004C79D8" w:rsidP="000131EB">
      <w:pPr>
        <w:pStyle w:val="Lijstalinea"/>
        <w:numPr>
          <w:ilvl w:val="0"/>
          <w:numId w:val="36"/>
        </w:numPr>
        <w:spacing w:line="276" w:lineRule="auto"/>
        <w:rPr>
          <w:rFonts w:ascii="Avenir Next LT Pro Light" w:hAnsi="Avenir Next LT Pro Light"/>
        </w:rPr>
      </w:pPr>
      <w:r w:rsidRPr="004C79D8">
        <w:rPr>
          <w:rFonts w:ascii="Avenir Next LT Pro Light" w:hAnsi="Avenir Next LT Pro Light"/>
        </w:rPr>
        <w:t>Publieke parkeergarages / -terreinen</w:t>
      </w:r>
    </w:p>
    <w:p w14:paraId="03275376" w14:textId="18D65B1F" w:rsidR="004C79D8" w:rsidRDefault="004C79D8" w:rsidP="000131EB">
      <w:pPr>
        <w:spacing w:after="0" w:line="276" w:lineRule="auto"/>
        <w:rPr>
          <w:rFonts w:ascii="Avenir Next LT Pro Light" w:hAnsi="Avenir Next LT Pro Light"/>
        </w:rPr>
      </w:pPr>
      <w:r w:rsidRPr="004C79D8">
        <w:rPr>
          <w:rFonts w:ascii="Avenir Next LT Pro Light" w:hAnsi="Avenir Next LT Pro Light"/>
        </w:rPr>
        <w:t xml:space="preserve">Bij gemeentelijke parkeergarages en </w:t>
      </w:r>
      <w:r w:rsidR="0011364E">
        <w:rPr>
          <w:rFonts w:ascii="Avenir Next LT Pro Light" w:hAnsi="Avenir Next LT Pro Light"/>
        </w:rPr>
        <w:t>parkeer</w:t>
      </w:r>
      <w:r w:rsidRPr="004C79D8">
        <w:rPr>
          <w:rFonts w:ascii="Avenir Next LT Pro Light" w:hAnsi="Avenir Next LT Pro Light"/>
        </w:rPr>
        <w:t xml:space="preserve">terreinen hebben de gemeenten zelf direct invloed op het aanbieden van laadinfrastructuur. Bovendien gebruiken gemeenten het aanbod van laadinfrastructuur in een parkeervisie om te sturen op het parkeren van bezoekers in en rondom de binnenstad. </w:t>
      </w:r>
    </w:p>
    <w:p w14:paraId="16B97CE8" w14:textId="77777777" w:rsidR="00FB4347" w:rsidRPr="004C79D8" w:rsidRDefault="00FB4347" w:rsidP="000131EB">
      <w:pPr>
        <w:spacing w:after="0" w:line="276" w:lineRule="auto"/>
        <w:rPr>
          <w:rFonts w:ascii="Avenir Next LT Pro Light" w:hAnsi="Avenir Next LT Pro Light"/>
        </w:rPr>
      </w:pPr>
    </w:p>
    <w:p w14:paraId="64F99C1C" w14:textId="77777777" w:rsidR="004C79D8" w:rsidRDefault="004C79D8" w:rsidP="000131EB">
      <w:pPr>
        <w:spacing w:after="0" w:line="276" w:lineRule="auto"/>
        <w:rPr>
          <w:rFonts w:ascii="Avenir Next LT Pro Light" w:hAnsi="Avenir Next LT Pro Light"/>
        </w:rPr>
      </w:pPr>
      <w:r w:rsidRPr="004C79D8">
        <w:rPr>
          <w:rFonts w:ascii="Avenir Next LT Pro Light" w:hAnsi="Avenir Next LT Pro Light"/>
        </w:rPr>
        <w:t>Realisatie kan in eigen beheer. Veel gemeenten kiezen er</w:t>
      </w:r>
      <w:r w:rsidR="00E07A8F">
        <w:rPr>
          <w:rFonts w:ascii="Avenir Next LT Pro Light" w:hAnsi="Avenir Next LT Pro Light"/>
        </w:rPr>
        <w:t xml:space="preserve"> echter </w:t>
      </w:r>
      <w:r w:rsidRPr="004C79D8">
        <w:rPr>
          <w:rFonts w:ascii="Avenir Next LT Pro Light" w:hAnsi="Avenir Next LT Pro Light"/>
        </w:rPr>
        <w:t>voor om een concessie in de markt te zetten om het beheer, uitbreiding en de exploitatie bij een externe partij neer te leggen.</w:t>
      </w:r>
      <w:r w:rsidR="009A6CC3">
        <w:rPr>
          <w:rFonts w:ascii="Avenir Next LT Pro Light" w:hAnsi="Avenir Next LT Pro Light"/>
        </w:rPr>
        <w:t xml:space="preserve"> MRA-Elektrisch is beschikbaar om gemeenten hier bij te adviseren.</w:t>
      </w:r>
      <w:r w:rsidRPr="004C79D8">
        <w:rPr>
          <w:rFonts w:ascii="Avenir Next LT Pro Light" w:hAnsi="Avenir Next LT Pro Light"/>
        </w:rPr>
        <w:t xml:space="preserve"> Met een goed plan voor een concessie kan laadinfrastructuur tegen lage kosten worden gerealiseerd en kan uitbreiding plaatsvinden wanneer dat nodig is. In veel gemeentelijke parkeergarages blijft het aanbod van laadinfrastructuur echter nog achter bij de vraag. </w:t>
      </w:r>
    </w:p>
    <w:p w14:paraId="56E6C81F" w14:textId="77777777" w:rsidR="001C40D4" w:rsidRPr="004C79D8" w:rsidRDefault="001C40D4" w:rsidP="000131EB">
      <w:pPr>
        <w:spacing w:after="0" w:line="276" w:lineRule="auto"/>
        <w:rPr>
          <w:rFonts w:ascii="Avenir Next LT Pro Light" w:hAnsi="Avenir Next LT Pro Light"/>
        </w:rPr>
      </w:pPr>
    </w:p>
    <w:p w14:paraId="6E9820F4" w14:textId="77777777" w:rsidR="004C79D8" w:rsidRDefault="004C79D8" w:rsidP="000131EB">
      <w:pPr>
        <w:pStyle w:val="Lijstalinea"/>
        <w:numPr>
          <w:ilvl w:val="0"/>
          <w:numId w:val="36"/>
        </w:numPr>
        <w:spacing w:line="276" w:lineRule="auto"/>
        <w:rPr>
          <w:rFonts w:ascii="Avenir Next LT Pro Light" w:hAnsi="Avenir Next LT Pro Light"/>
        </w:rPr>
      </w:pPr>
      <w:r w:rsidRPr="004C79D8">
        <w:rPr>
          <w:rFonts w:ascii="Avenir Next LT Pro Light" w:hAnsi="Avenir Next LT Pro Light"/>
        </w:rPr>
        <w:lastRenderedPageBreak/>
        <w:t>Private parkeerterreinen / -garages</w:t>
      </w:r>
    </w:p>
    <w:p w14:paraId="5D352CB8" w14:textId="77777777" w:rsidR="004C79D8" w:rsidRDefault="004C79D8" w:rsidP="000131EB">
      <w:pPr>
        <w:spacing w:after="0" w:line="276" w:lineRule="auto"/>
        <w:rPr>
          <w:rFonts w:ascii="Avenir Next LT Pro Light" w:hAnsi="Avenir Next LT Pro Light"/>
        </w:rPr>
      </w:pPr>
      <w:r w:rsidRPr="004C79D8">
        <w:rPr>
          <w:rFonts w:ascii="Avenir Next LT Pro Light" w:hAnsi="Avenir Next LT Pro Light"/>
        </w:rPr>
        <w:t xml:space="preserve">Bedrijven waarvoor het aanbieden van parkeerplaatsen de </w:t>
      </w:r>
      <w:r w:rsidRPr="00E07A8F">
        <w:rPr>
          <w:rFonts w:ascii="Avenir Next LT Pro Light" w:hAnsi="Avenir Next LT Pro Light"/>
          <w:i/>
          <w:iCs/>
        </w:rPr>
        <w:t>core business</w:t>
      </w:r>
      <w:r w:rsidRPr="004C79D8">
        <w:rPr>
          <w:rFonts w:ascii="Avenir Next LT Pro Light" w:hAnsi="Avenir Next LT Pro Light"/>
        </w:rPr>
        <w:t xml:space="preserve"> is, hebben een vergelijkbare afweging te maken. De locaties zijn voor het betaald parkeren al zo gekozen dat er een gemiddeld voldoende lange parkeerduur is om exploitatie commercieel aantrekkelijk te maken. Waarschijnlijk is er dan ook een businesscase te maken voor laden. Deze bedrijven kunnen ee</w:t>
      </w:r>
      <w:r w:rsidR="00E07A8F">
        <w:rPr>
          <w:rFonts w:ascii="Avenir Next LT Pro Light" w:hAnsi="Avenir Next LT Pro Light"/>
        </w:rPr>
        <w:t>n</w:t>
      </w:r>
      <w:r w:rsidRPr="004C79D8">
        <w:rPr>
          <w:rFonts w:ascii="Avenir Next LT Pro Light" w:hAnsi="Avenir Next LT Pro Light"/>
        </w:rPr>
        <w:t xml:space="preserve"> investeringsplan maken voor laadsnelheid en fasering van het aantal te installeren punten in relatie tot de verwachte vraag en investeringskosten. Het uitblijven van de laadpunten kan (op termijn) de concurrentiepositie beïnvloeden. Omdat de inkomsten vanuit laden nog relatief beperkt zijn</w:t>
      </w:r>
      <w:r w:rsidR="00E41256">
        <w:rPr>
          <w:rFonts w:ascii="Avenir Next LT Pro Light" w:hAnsi="Avenir Next LT Pro Light"/>
        </w:rPr>
        <w:t xml:space="preserve"> ten opzichte van de inkomsten uit parkeergeld</w:t>
      </w:r>
      <w:r w:rsidRPr="004C79D8">
        <w:rPr>
          <w:rFonts w:ascii="Avenir Next LT Pro Light" w:hAnsi="Avenir Next LT Pro Light"/>
        </w:rPr>
        <w:t>, blijft het aanbod in private parkeergarages vaak achter bij de vraag.</w:t>
      </w:r>
    </w:p>
    <w:p w14:paraId="5C018741" w14:textId="77777777" w:rsidR="001C40D4" w:rsidRPr="004C79D8" w:rsidRDefault="001C40D4" w:rsidP="000131EB">
      <w:pPr>
        <w:spacing w:after="0" w:line="276" w:lineRule="auto"/>
        <w:rPr>
          <w:rFonts w:ascii="Avenir Next LT Pro Light" w:hAnsi="Avenir Next LT Pro Light"/>
        </w:rPr>
      </w:pPr>
    </w:p>
    <w:p w14:paraId="41AE9E7B" w14:textId="77777777" w:rsidR="004C79D8" w:rsidRDefault="004C79D8" w:rsidP="000131EB">
      <w:pPr>
        <w:spacing w:after="0" w:line="276" w:lineRule="auto"/>
        <w:rPr>
          <w:rFonts w:ascii="Avenir Next LT Pro Light" w:hAnsi="Avenir Next LT Pro Light"/>
        </w:rPr>
      </w:pPr>
      <w:r w:rsidRPr="004C79D8">
        <w:rPr>
          <w:rFonts w:ascii="Avenir Next LT Pro Light" w:hAnsi="Avenir Next LT Pro Light"/>
        </w:rPr>
        <w:t>Gemeenten kunnen deze ontwikkel</w:t>
      </w:r>
      <w:r w:rsidR="000859B3">
        <w:rPr>
          <w:rFonts w:ascii="Avenir Next LT Pro Light" w:hAnsi="Avenir Next LT Pro Light"/>
        </w:rPr>
        <w:t>ing</w:t>
      </w:r>
      <w:r w:rsidRPr="004C79D8">
        <w:rPr>
          <w:rFonts w:ascii="Avenir Next LT Pro Light" w:hAnsi="Avenir Next LT Pro Light"/>
        </w:rPr>
        <w:t xml:space="preserve"> stimuleren door exploitanten van parkeergarages en -terreinen te benaderen en</w:t>
      </w:r>
      <w:r w:rsidR="00E07A8F">
        <w:rPr>
          <w:rFonts w:ascii="Avenir Next LT Pro Light" w:hAnsi="Avenir Next LT Pro Light"/>
        </w:rPr>
        <w:t xml:space="preserve"> te</w:t>
      </w:r>
      <w:r w:rsidRPr="004C79D8">
        <w:rPr>
          <w:rFonts w:ascii="Avenir Next LT Pro Light" w:hAnsi="Avenir Next LT Pro Light"/>
        </w:rPr>
        <w:t xml:space="preserve"> informeren en door het stellen van eisen bij vergunningverlening voor de bouw van parkeergarages. </w:t>
      </w:r>
    </w:p>
    <w:p w14:paraId="6302B4AA" w14:textId="77777777" w:rsidR="001C40D4" w:rsidRPr="004C79D8" w:rsidRDefault="001C40D4" w:rsidP="000131EB">
      <w:pPr>
        <w:spacing w:after="0" w:line="276" w:lineRule="auto"/>
        <w:rPr>
          <w:rFonts w:ascii="Avenir Next LT Pro Light" w:hAnsi="Avenir Next LT Pro Light"/>
        </w:rPr>
      </w:pPr>
    </w:p>
    <w:p w14:paraId="79D9D1BE" w14:textId="77777777" w:rsidR="00D17138" w:rsidRDefault="004C79D8" w:rsidP="000131EB">
      <w:pPr>
        <w:pStyle w:val="Lijstalinea"/>
        <w:numPr>
          <w:ilvl w:val="0"/>
          <w:numId w:val="36"/>
        </w:numPr>
        <w:spacing w:line="276" w:lineRule="auto"/>
        <w:rPr>
          <w:rFonts w:ascii="Avenir Next LT Pro Light" w:hAnsi="Avenir Next LT Pro Light"/>
        </w:rPr>
      </w:pPr>
      <w:r w:rsidRPr="00D17138">
        <w:rPr>
          <w:rFonts w:ascii="Avenir Next LT Pro Light" w:hAnsi="Avenir Next LT Pro Light"/>
        </w:rPr>
        <w:t xml:space="preserve">Tankstations </w:t>
      </w:r>
    </w:p>
    <w:p w14:paraId="34506D1F" w14:textId="33834746" w:rsidR="004C79D8" w:rsidRPr="004C79D8" w:rsidRDefault="004C79D8" w:rsidP="000131EB">
      <w:pPr>
        <w:spacing w:after="0" w:line="276" w:lineRule="auto"/>
        <w:rPr>
          <w:rFonts w:ascii="Avenir Next LT Pro Light" w:hAnsi="Avenir Next LT Pro Light"/>
        </w:rPr>
      </w:pPr>
      <w:r w:rsidRPr="00D17138">
        <w:rPr>
          <w:rFonts w:ascii="Avenir Next LT Pro Light" w:hAnsi="Avenir Next LT Pro Light"/>
        </w:rPr>
        <w:t>Tankstations zijn over het algemeen geschikte locaties voor snellaadinfrastructuur. Publieke organisaties hebben direct invloed op tankstations via het gemeentelijk of provinciaal brandstofpuntenbeleid</w:t>
      </w:r>
      <w:r w:rsidR="00E41256">
        <w:rPr>
          <w:rFonts w:ascii="Avenir Next LT Pro Light" w:hAnsi="Avenir Next LT Pro Light"/>
        </w:rPr>
        <w:t xml:space="preserve"> of door eigendomsposities</w:t>
      </w:r>
      <w:r w:rsidRPr="00D17138">
        <w:rPr>
          <w:rFonts w:ascii="Avenir Next LT Pro Light" w:hAnsi="Avenir Next LT Pro Light"/>
        </w:rPr>
        <w:t xml:space="preserve">. Naast tankstations op gemeente- of provinciegrond zijn er ook tankstations op privaat terrein. Exploitanten van deze tankstations kunnen er voor kiezen om </w:t>
      </w:r>
      <w:r w:rsidR="0058501E">
        <w:rPr>
          <w:rFonts w:ascii="Avenir Next LT Pro Light" w:hAnsi="Avenir Next LT Pro Light"/>
        </w:rPr>
        <w:t xml:space="preserve">openbare snelladers </w:t>
      </w:r>
      <w:r w:rsidRPr="00D17138">
        <w:rPr>
          <w:rFonts w:ascii="Avenir Next LT Pro Light" w:hAnsi="Avenir Next LT Pro Light"/>
        </w:rPr>
        <w:t xml:space="preserve">te realiseren op hun terrein. </w:t>
      </w:r>
      <w:r w:rsidR="0058501E">
        <w:rPr>
          <w:rFonts w:ascii="Avenir Next LT Pro Light" w:hAnsi="Avenir Next LT Pro Light"/>
        </w:rPr>
        <w:t xml:space="preserve">Veel tankstation houders op goed bezochte locaties zullen in de komende jaren zelfstandig over gaan tot het toevoegen van snelladers aan hun aanbod.  </w:t>
      </w:r>
      <w:r w:rsidRPr="00D17138">
        <w:rPr>
          <w:rFonts w:ascii="Avenir Next LT Pro Light" w:hAnsi="Avenir Next LT Pro Light"/>
        </w:rPr>
        <w:t xml:space="preserve">Overheden kunnen </w:t>
      </w:r>
      <w:r w:rsidR="0058501E">
        <w:rPr>
          <w:rFonts w:ascii="Avenir Next LT Pro Light" w:hAnsi="Avenir Next LT Pro Light"/>
        </w:rPr>
        <w:t xml:space="preserve">op andere locaties </w:t>
      </w:r>
      <w:r w:rsidRPr="00D17138">
        <w:rPr>
          <w:rFonts w:ascii="Avenir Next LT Pro Light" w:hAnsi="Avenir Next LT Pro Light"/>
        </w:rPr>
        <w:t>invloed uitoefenen op deze vorm van laden door tankstationhouders te informeren, adviseren of subsidiëren.</w:t>
      </w:r>
      <w:r w:rsidR="0058501E">
        <w:rPr>
          <w:rFonts w:ascii="Avenir Next LT Pro Light" w:hAnsi="Avenir Next LT Pro Light"/>
        </w:rPr>
        <w:t xml:space="preserve"> </w:t>
      </w:r>
      <w:r w:rsidR="00AB2FAC">
        <w:rPr>
          <w:rFonts w:ascii="Avenir Next LT Pro Light" w:hAnsi="Avenir Next LT Pro Light"/>
        </w:rPr>
        <w:t xml:space="preserve">Daarnaast is het belangrijk om de netbeheerder in een vroeg stadium te betrekken bij het realiseren van snelladers.  </w:t>
      </w:r>
      <w:r w:rsidR="00E07A8F">
        <w:rPr>
          <w:rFonts w:ascii="Avenir Next LT Pro Light" w:hAnsi="Avenir Next LT Pro Light"/>
        </w:rPr>
        <w:br/>
      </w:r>
    </w:p>
    <w:p w14:paraId="0C7704EC" w14:textId="77777777" w:rsidR="00BB1583" w:rsidRPr="00A83964" w:rsidRDefault="004C79D8" w:rsidP="000131EB">
      <w:pPr>
        <w:spacing w:after="0" w:line="276" w:lineRule="auto"/>
        <w:rPr>
          <w:rFonts w:ascii="Avenir Next LT Pro Light" w:hAnsi="Avenir Next LT Pro Light"/>
        </w:rPr>
      </w:pPr>
      <w:r w:rsidRPr="004C79D8">
        <w:rPr>
          <w:rFonts w:ascii="Avenir Next LT Pro Light" w:hAnsi="Avenir Next LT Pro Light"/>
          <w:b/>
          <w:bCs/>
        </w:rPr>
        <w:t>Hoe stimuleren we privaat en semi-publiek laden in de regio?</w:t>
      </w:r>
      <w:r w:rsidR="00D17138">
        <w:rPr>
          <w:rFonts w:ascii="Avenir Next LT Pro Light" w:hAnsi="Avenir Next LT Pro Light"/>
        </w:rPr>
        <w:br/>
      </w:r>
      <w:r w:rsidRPr="004C79D8">
        <w:rPr>
          <w:rFonts w:ascii="Avenir Next LT Pro Light" w:hAnsi="Avenir Next LT Pro Light"/>
        </w:rPr>
        <w:t>Vanwege het publieke belang van voldoende private laadinfrastructuur gaat MRA-</w:t>
      </w:r>
      <w:r w:rsidR="00FC05BF" w:rsidRPr="004C79D8">
        <w:rPr>
          <w:rFonts w:ascii="Avenir Next LT Pro Light" w:hAnsi="Avenir Next LT Pro Light"/>
        </w:rPr>
        <w:t>Elektrisch</w:t>
      </w:r>
      <w:r w:rsidRPr="004C79D8">
        <w:rPr>
          <w:rFonts w:ascii="Avenir Next LT Pro Light" w:hAnsi="Avenir Next LT Pro Light"/>
        </w:rPr>
        <w:t xml:space="preserve"> in samenwerking met gemeenten met privaat laden aan de slag. De aandacht gaat daarbij uit naar locaties waar het aanbod van laadinfrastructuur achterblijft bij de vraag. Zo werkt MRA-Elektrisch werkt samen met de gemeenten aan een plan van aanpak waarin VvE’s, woningcorporaties, bewoners en verhuurders goede informatie en voorbeelden worden geboden, om aan de slag te gaan met de realisatie van laadinfrastructuur. Ook voor de stimulering van laadinfrastructuur bij bezoekerslocaties en gemeentelijke parkeergarages en -terreinen worden de krachten in de regio gebundeld. Realisatie wordt doelgericht bespoedigd door informatievoorziening, ontwikkelen en uitdiepen van voorbeelden en een aantal projecten gericht op een specifieke doelgroep of type locatie.</w:t>
      </w:r>
    </w:p>
    <w:p w14:paraId="4D049039" w14:textId="77777777" w:rsidR="004C79D8" w:rsidRPr="000859B3" w:rsidRDefault="004C79D8" w:rsidP="000131EB">
      <w:pPr>
        <w:pStyle w:val="Kop2"/>
        <w:spacing w:line="276" w:lineRule="auto"/>
      </w:pPr>
      <w:bookmarkStart w:id="15" w:name="_Toc71287701"/>
      <w:r w:rsidRPr="000859B3">
        <w:t>Snellaadpunten</w:t>
      </w:r>
      <w:bookmarkEnd w:id="15"/>
    </w:p>
    <w:p w14:paraId="431DC747" w14:textId="77777777" w:rsidR="00873A19" w:rsidRDefault="00873A19" w:rsidP="000131EB">
      <w:pPr>
        <w:spacing w:after="0" w:line="276" w:lineRule="auto"/>
        <w:rPr>
          <w:rFonts w:ascii="Avenir Next LT Pro Light" w:hAnsi="Avenir Next LT Pro Light"/>
        </w:rPr>
      </w:pPr>
      <w:r w:rsidRPr="00A83964">
        <w:rPr>
          <w:rFonts w:ascii="Avenir Next LT Pro Light" w:hAnsi="Avenir Next LT Pro Light"/>
        </w:rPr>
        <w:t>MRA-</w:t>
      </w:r>
      <w:r>
        <w:rPr>
          <w:rFonts w:ascii="Avenir Next LT Pro Light" w:hAnsi="Avenir Next LT Pro Light"/>
        </w:rPr>
        <w:t>E</w:t>
      </w:r>
      <w:r w:rsidRPr="00A83964">
        <w:rPr>
          <w:rFonts w:ascii="Avenir Next LT Pro Light" w:hAnsi="Avenir Next LT Pro Light"/>
        </w:rPr>
        <w:t xml:space="preserve"> heeft zich tot nu toe met name gericht op het plaatsen van</w:t>
      </w:r>
      <w:r>
        <w:rPr>
          <w:rFonts w:ascii="Avenir Next LT Pro Light" w:hAnsi="Avenir Next LT Pro Light"/>
        </w:rPr>
        <w:t xml:space="preserve"> reguliere</w:t>
      </w:r>
      <w:r w:rsidRPr="00A83964">
        <w:rPr>
          <w:rFonts w:ascii="Avenir Next LT Pro Light" w:hAnsi="Avenir Next LT Pro Light"/>
        </w:rPr>
        <w:t xml:space="preserve"> laadpalen in de openbare ruimte. Om het aanbod aan laadinfrastructuur te laten meegroeien met het aantal elektrische voertuigen is het noodzakelijk dat naast </w:t>
      </w:r>
      <w:r>
        <w:rPr>
          <w:rFonts w:ascii="Avenir Next LT Pro Light" w:hAnsi="Avenir Next LT Pro Light"/>
        </w:rPr>
        <w:t>reguliere</w:t>
      </w:r>
      <w:r w:rsidRPr="00A83964">
        <w:rPr>
          <w:rFonts w:ascii="Avenir Next LT Pro Light" w:hAnsi="Avenir Next LT Pro Light"/>
        </w:rPr>
        <w:t xml:space="preserve"> laadpunten ook andere vormen van laadinfrastructuur meegroeien. </w:t>
      </w:r>
      <w:r>
        <w:rPr>
          <w:rFonts w:ascii="Avenir Next LT Pro Light" w:hAnsi="Avenir Next LT Pro Light"/>
        </w:rPr>
        <w:t>Snelladen vormt daarbij een belangrijke aanvullende laadoplossing voor verschillende typen voertuigen en doelgroepen.</w:t>
      </w:r>
      <w:r w:rsidR="000859B3">
        <w:rPr>
          <w:rFonts w:ascii="Avenir Next LT Pro Light" w:hAnsi="Avenir Next LT Pro Light"/>
        </w:rPr>
        <w:t xml:space="preserve"> </w:t>
      </w:r>
      <w:r w:rsidRPr="00A83964">
        <w:rPr>
          <w:rFonts w:ascii="Avenir Next LT Pro Light" w:hAnsi="Avenir Next LT Pro Light"/>
        </w:rPr>
        <w:t>Dit hoofdstuk gaat daarom in op de visie van MRA-</w:t>
      </w:r>
      <w:r>
        <w:rPr>
          <w:rFonts w:ascii="Avenir Next LT Pro Light" w:hAnsi="Avenir Next LT Pro Light"/>
        </w:rPr>
        <w:t>E</w:t>
      </w:r>
      <w:r w:rsidRPr="00A83964">
        <w:rPr>
          <w:rFonts w:ascii="Avenir Next LT Pro Light" w:hAnsi="Avenir Next LT Pro Light"/>
        </w:rPr>
        <w:t xml:space="preserve"> op snellaadinfrastructuur in de regio. </w:t>
      </w:r>
      <w:r>
        <w:rPr>
          <w:rFonts w:ascii="Avenir Next LT Pro Light" w:hAnsi="Avenir Next LT Pro Light"/>
        </w:rPr>
        <w:br/>
      </w:r>
    </w:p>
    <w:p w14:paraId="6872D033" w14:textId="77777777" w:rsidR="00873A19" w:rsidRDefault="00873A19" w:rsidP="000131EB">
      <w:pPr>
        <w:spacing w:after="0" w:line="276" w:lineRule="auto"/>
        <w:rPr>
          <w:rFonts w:ascii="Avenir Next LT Pro Light" w:hAnsi="Avenir Next LT Pro Light"/>
          <w:b/>
          <w:bCs/>
        </w:rPr>
      </w:pPr>
      <w:r w:rsidRPr="008E4E49">
        <w:rPr>
          <w:rFonts w:ascii="Avenir Next LT Pro Light" w:hAnsi="Avenir Next LT Pro Light"/>
          <w:b/>
          <w:bCs/>
        </w:rPr>
        <w:lastRenderedPageBreak/>
        <w:t xml:space="preserve">Verschillende </w:t>
      </w:r>
      <w:r>
        <w:rPr>
          <w:rFonts w:ascii="Avenir Next LT Pro Light" w:hAnsi="Avenir Next LT Pro Light"/>
          <w:b/>
          <w:bCs/>
        </w:rPr>
        <w:t xml:space="preserve">type voertuigen, technieken </w:t>
      </w:r>
      <w:r w:rsidRPr="008E4E49">
        <w:rPr>
          <w:rFonts w:ascii="Avenir Next LT Pro Light" w:hAnsi="Avenir Next LT Pro Light"/>
          <w:b/>
          <w:bCs/>
        </w:rPr>
        <w:t>en toepassingen</w:t>
      </w:r>
      <w:r w:rsidR="00107E1D">
        <w:rPr>
          <w:rFonts w:ascii="Avenir Next LT Pro Light" w:hAnsi="Avenir Next LT Pro Light"/>
          <w:b/>
          <w:bCs/>
        </w:rPr>
        <w:br/>
      </w:r>
      <w:r>
        <w:rPr>
          <w:rFonts w:ascii="Avenir Next LT Pro Light" w:hAnsi="Avenir Next LT Pro Light"/>
        </w:rPr>
        <w:t>Snelladen is een term die een verzameling van verschillende laadoplossingen dekt. Was het tot enkele jaren geleden duidelijk dat snelladers laadoplossingen vanaf 50kW aanduidde, is het door een snelle techniekontwikkeling en nieuwe toepassingsgebieden tegenwoordig noodzakelijk om meer duiding te geven aan het definitiegebruik.</w:t>
      </w:r>
    </w:p>
    <w:p w14:paraId="17AA1377" w14:textId="77777777" w:rsidR="00D44C33" w:rsidRPr="00107E1D" w:rsidRDefault="00D44C33" w:rsidP="000131EB">
      <w:pPr>
        <w:spacing w:after="0" w:line="276" w:lineRule="auto"/>
        <w:rPr>
          <w:rFonts w:ascii="Avenir Next LT Pro Light" w:hAnsi="Avenir Next LT Pro Light"/>
          <w:b/>
          <w:bCs/>
        </w:rPr>
      </w:pPr>
    </w:p>
    <w:p w14:paraId="72B97506" w14:textId="77777777" w:rsidR="00873A19" w:rsidRDefault="00873A19" w:rsidP="000131EB">
      <w:pPr>
        <w:spacing w:after="0" w:line="276" w:lineRule="auto"/>
        <w:rPr>
          <w:rFonts w:ascii="Avenir Next LT Pro Light" w:hAnsi="Avenir Next LT Pro Light"/>
        </w:rPr>
      </w:pPr>
      <w:r>
        <w:rPr>
          <w:rFonts w:ascii="Avenir Next LT Pro Light" w:hAnsi="Avenir Next LT Pro Light"/>
        </w:rPr>
        <w:t>MRA</w:t>
      </w:r>
      <w:r w:rsidR="006F2874">
        <w:rPr>
          <w:rFonts w:ascii="Avenir Next LT Pro Light" w:hAnsi="Avenir Next LT Pro Light"/>
        </w:rPr>
        <w:t>-E</w:t>
      </w:r>
      <w:r>
        <w:rPr>
          <w:rFonts w:ascii="Avenir Next LT Pro Light" w:hAnsi="Avenir Next LT Pro Light"/>
        </w:rPr>
        <w:t xml:space="preserve"> </w:t>
      </w:r>
      <w:r w:rsidR="00107E1D">
        <w:rPr>
          <w:rFonts w:ascii="Avenir Next LT Pro Light" w:hAnsi="Avenir Next LT Pro Light"/>
        </w:rPr>
        <w:t>definieert</w:t>
      </w:r>
      <w:r>
        <w:rPr>
          <w:rFonts w:ascii="Avenir Next LT Pro Light" w:hAnsi="Avenir Next LT Pro Light"/>
        </w:rPr>
        <w:t xml:space="preserve"> verschillende snellaadoplossingen naar het formaat van voertuigen en de beschikbare vermogens (in kW) bij een lader. Dit onderscheid maakt MRA</w:t>
      </w:r>
      <w:r w:rsidR="006F2874">
        <w:rPr>
          <w:rFonts w:ascii="Avenir Next LT Pro Light" w:hAnsi="Avenir Next LT Pro Light"/>
        </w:rPr>
        <w:t>-E</w:t>
      </w:r>
      <w:r>
        <w:rPr>
          <w:rFonts w:ascii="Avenir Next LT Pro Light" w:hAnsi="Avenir Next LT Pro Light"/>
        </w:rPr>
        <w:t xml:space="preserve"> tussen reguliere voertuigen (personenvoertuigen en bestelwagens) en grotere voertuigen (zoals vrachtwagens en bussen). In </w:t>
      </w:r>
      <w:r w:rsidR="0077703D">
        <w:rPr>
          <w:rFonts w:ascii="Avenir Next LT Pro Light" w:hAnsi="Avenir Next LT Pro Light"/>
        </w:rPr>
        <w:t>figuur 3.1</w:t>
      </w:r>
      <w:r>
        <w:rPr>
          <w:rFonts w:ascii="Avenir Next LT Pro Light" w:hAnsi="Avenir Next LT Pro Light"/>
        </w:rPr>
        <w:t xml:space="preserve"> wordt een overzicht van deze splitsing gegeven.</w:t>
      </w:r>
    </w:p>
    <w:p w14:paraId="4FCB5B3E" w14:textId="77777777" w:rsidR="00D44C33" w:rsidRDefault="00D44C33" w:rsidP="000131EB">
      <w:pPr>
        <w:spacing w:after="0" w:line="276" w:lineRule="auto"/>
        <w:rPr>
          <w:rFonts w:ascii="Avenir Next LT Pro Light" w:hAnsi="Avenir Next LT Pro Light"/>
        </w:rPr>
      </w:pPr>
    </w:p>
    <w:p w14:paraId="4778414D" w14:textId="77777777" w:rsidR="00873A19" w:rsidRDefault="001C40D4" w:rsidP="000131EB">
      <w:pPr>
        <w:spacing w:after="0" w:line="276" w:lineRule="auto"/>
        <w:rPr>
          <w:rFonts w:ascii="Avenir Next LT Pro Light" w:hAnsi="Avenir Next LT Pro Light"/>
        </w:rPr>
      </w:pPr>
      <w:r>
        <w:rPr>
          <w:noProof/>
          <w:lang w:eastAsia="nl-NL"/>
        </w:rPr>
        <mc:AlternateContent>
          <mc:Choice Requires="wps">
            <w:drawing>
              <wp:anchor distT="0" distB="0" distL="114300" distR="114300" simplePos="0" relativeHeight="251662336" behindDoc="1" locked="0" layoutInCell="1" allowOverlap="1" wp14:anchorId="6BE96744" wp14:editId="742B88B9">
                <wp:simplePos x="0" y="0"/>
                <wp:positionH relativeFrom="margin">
                  <wp:align>right</wp:align>
                </wp:positionH>
                <wp:positionV relativeFrom="paragraph">
                  <wp:posOffset>3105102</wp:posOffset>
                </wp:positionV>
                <wp:extent cx="3841115" cy="180975"/>
                <wp:effectExtent l="0" t="0" r="6985" b="9525"/>
                <wp:wrapTight wrapText="bothSides">
                  <wp:wrapPolygon edited="0">
                    <wp:start x="0" y="0"/>
                    <wp:lineTo x="0" y="20463"/>
                    <wp:lineTo x="21532" y="20463"/>
                    <wp:lineTo x="21532" y="0"/>
                    <wp:lineTo x="0" y="0"/>
                  </wp:wrapPolygon>
                </wp:wrapTight>
                <wp:docPr id="1" name="Tekstvak 1"/>
                <wp:cNvGraphicFramePr/>
                <a:graphic xmlns:a="http://schemas.openxmlformats.org/drawingml/2006/main">
                  <a:graphicData uri="http://schemas.microsoft.com/office/word/2010/wordprocessingShape">
                    <wps:wsp>
                      <wps:cNvSpPr txBox="1"/>
                      <wps:spPr>
                        <a:xfrm>
                          <a:off x="0" y="0"/>
                          <a:ext cx="3841115" cy="180975"/>
                        </a:xfrm>
                        <a:prstGeom prst="rect">
                          <a:avLst/>
                        </a:prstGeom>
                        <a:solidFill>
                          <a:prstClr val="white"/>
                        </a:solidFill>
                        <a:ln>
                          <a:noFill/>
                        </a:ln>
                      </wps:spPr>
                      <wps:txbx>
                        <w:txbxContent>
                          <w:p w14:paraId="7E5284AF" w14:textId="344CE712" w:rsidR="00677C1D" w:rsidRPr="001C40D4" w:rsidRDefault="00677C1D" w:rsidP="001C40D4">
                            <w:pPr>
                              <w:pStyle w:val="Bijschrift"/>
                              <w:rPr>
                                <w:rFonts w:ascii="Avenir Next LT Pro Light" w:hAnsi="Avenir Next LT Pro Light"/>
                                <w:noProof/>
                                <w:color w:val="auto"/>
                                <w:sz w:val="20"/>
                              </w:rPr>
                            </w:pPr>
                            <w:r w:rsidRPr="001C40D4">
                              <w:rPr>
                                <w:rFonts w:ascii="Avenir Next LT Pro Light" w:hAnsi="Avenir Next LT Pro Light"/>
                                <w:color w:val="auto"/>
                              </w:rPr>
                              <w:t xml:space="preserve">Figuur </w:t>
                            </w:r>
                            <w:r>
                              <w:rPr>
                                <w:rFonts w:ascii="Avenir Next LT Pro Light" w:hAnsi="Avenir Next LT Pro Light"/>
                                <w:color w:val="auto"/>
                              </w:rPr>
                              <w:fldChar w:fldCharType="begin"/>
                            </w:r>
                            <w:r>
                              <w:rPr>
                                <w:rFonts w:ascii="Avenir Next LT Pro Light" w:hAnsi="Avenir Next LT Pro Light"/>
                                <w:color w:val="auto"/>
                              </w:rPr>
                              <w:instrText xml:space="preserve"> STYLEREF 1 \s </w:instrText>
                            </w:r>
                            <w:r>
                              <w:rPr>
                                <w:rFonts w:ascii="Avenir Next LT Pro Light" w:hAnsi="Avenir Next LT Pro Light"/>
                                <w:color w:val="auto"/>
                              </w:rPr>
                              <w:fldChar w:fldCharType="separate"/>
                            </w:r>
                            <w:r>
                              <w:rPr>
                                <w:rFonts w:ascii="Avenir Next LT Pro Light" w:hAnsi="Avenir Next LT Pro Light"/>
                                <w:noProof/>
                                <w:color w:val="auto"/>
                              </w:rPr>
                              <w:t>3</w:t>
                            </w:r>
                            <w:r>
                              <w:rPr>
                                <w:rFonts w:ascii="Avenir Next LT Pro Light" w:hAnsi="Avenir Next LT Pro Light"/>
                                <w:color w:val="auto"/>
                              </w:rPr>
                              <w:fldChar w:fldCharType="end"/>
                            </w:r>
                            <w:r>
                              <w:rPr>
                                <w:rFonts w:ascii="Avenir Next LT Pro Light" w:hAnsi="Avenir Next LT Pro Light"/>
                                <w:color w:val="auto"/>
                              </w:rPr>
                              <w:noBreakHyphen/>
                            </w:r>
                            <w:r>
                              <w:rPr>
                                <w:rFonts w:ascii="Avenir Next LT Pro Light" w:hAnsi="Avenir Next LT Pro Light"/>
                                <w:color w:val="auto"/>
                              </w:rPr>
                              <w:fldChar w:fldCharType="begin"/>
                            </w:r>
                            <w:r>
                              <w:rPr>
                                <w:rFonts w:ascii="Avenir Next LT Pro Light" w:hAnsi="Avenir Next LT Pro Light"/>
                                <w:color w:val="auto"/>
                              </w:rPr>
                              <w:instrText xml:space="preserve"> SEQ Figuur \* ARABIC \s 1 </w:instrText>
                            </w:r>
                            <w:r>
                              <w:rPr>
                                <w:rFonts w:ascii="Avenir Next LT Pro Light" w:hAnsi="Avenir Next LT Pro Light"/>
                                <w:color w:val="auto"/>
                              </w:rPr>
                              <w:fldChar w:fldCharType="separate"/>
                            </w:r>
                            <w:r>
                              <w:rPr>
                                <w:rFonts w:ascii="Avenir Next LT Pro Light" w:hAnsi="Avenir Next LT Pro Light"/>
                                <w:noProof/>
                                <w:color w:val="auto"/>
                              </w:rPr>
                              <w:t>1</w:t>
                            </w:r>
                            <w:r>
                              <w:rPr>
                                <w:rFonts w:ascii="Avenir Next LT Pro Light" w:hAnsi="Avenir Next LT Pro Light"/>
                                <w:color w:val="auto"/>
                              </w:rPr>
                              <w:fldChar w:fldCharType="end"/>
                            </w:r>
                            <w:r w:rsidRPr="001C40D4">
                              <w:rPr>
                                <w:rFonts w:ascii="Avenir Next LT Pro Light" w:hAnsi="Avenir Next LT Pro Light"/>
                                <w:color w:val="auto"/>
                              </w:rPr>
                              <w:t xml:space="preserve"> Overzicht voertuigen en snellaadoplossingen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E96744" id="Tekstvak 1" o:spid="_x0000_s1029" type="#_x0000_t202" style="position:absolute;margin-left:251.25pt;margin-top:244.5pt;width:302.45pt;height:14.25pt;z-index:-2516541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" stroked="f">
                <v:textbox inset="0,0,0,0">
                  <w:txbxContent>
                    <w:p w14:paraId="7E5284AF" w14:textId="344CE712" w:rsidR="00677C1D" w:rsidRPr="001C40D4" w:rsidRDefault="00677C1D" w:rsidP="001C40D4">
                      <w:pPr>
                        <w:pStyle w:val="Bijschrift"/>
                        <w:rPr>
                          <w:rFonts w:ascii="Avenir Next LT Pro Light" w:hAnsi="Avenir Next LT Pro Light"/>
                          <w:noProof/>
                          <w:color w:val="auto"/>
                          <w:sz w:val="20"/>
                        </w:rPr>
                      </w:pPr>
                      <w:r w:rsidRPr="001C40D4">
                        <w:rPr>
                          <w:rFonts w:ascii="Avenir Next LT Pro Light" w:hAnsi="Avenir Next LT Pro Light"/>
                          <w:color w:val="auto"/>
                        </w:rPr>
                        <w:t xml:space="preserve">Figuur </w:t>
                      </w:r>
                      <w:r>
                        <w:rPr>
                          <w:rFonts w:ascii="Avenir Next LT Pro Light" w:hAnsi="Avenir Next LT Pro Light"/>
                          <w:color w:val="auto"/>
                        </w:rPr>
                        <w:fldChar w:fldCharType="begin"/>
                      </w:r>
                      <w:r>
                        <w:rPr>
                          <w:rFonts w:ascii="Avenir Next LT Pro Light" w:hAnsi="Avenir Next LT Pro Light"/>
                          <w:color w:val="auto"/>
                        </w:rPr>
                        <w:instrText xml:space="preserve"> STYLEREF 1 \s </w:instrText>
                      </w:r>
                      <w:r>
                        <w:rPr>
                          <w:rFonts w:ascii="Avenir Next LT Pro Light" w:hAnsi="Avenir Next LT Pro Light"/>
                          <w:color w:val="auto"/>
                        </w:rPr>
                        <w:fldChar w:fldCharType="separate"/>
                      </w:r>
                      <w:r>
                        <w:rPr>
                          <w:rFonts w:ascii="Avenir Next LT Pro Light" w:hAnsi="Avenir Next LT Pro Light"/>
                          <w:noProof/>
                          <w:color w:val="auto"/>
                        </w:rPr>
                        <w:t>3</w:t>
                      </w:r>
                      <w:r>
                        <w:rPr>
                          <w:rFonts w:ascii="Avenir Next LT Pro Light" w:hAnsi="Avenir Next LT Pro Light"/>
                          <w:color w:val="auto"/>
                        </w:rPr>
                        <w:fldChar w:fldCharType="end"/>
                      </w:r>
                      <w:r>
                        <w:rPr>
                          <w:rFonts w:ascii="Avenir Next LT Pro Light" w:hAnsi="Avenir Next LT Pro Light"/>
                          <w:color w:val="auto"/>
                        </w:rPr>
                        <w:noBreakHyphen/>
                      </w:r>
                      <w:r>
                        <w:rPr>
                          <w:rFonts w:ascii="Avenir Next LT Pro Light" w:hAnsi="Avenir Next LT Pro Light"/>
                          <w:color w:val="auto"/>
                        </w:rPr>
                        <w:fldChar w:fldCharType="begin"/>
                      </w:r>
                      <w:r>
                        <w:rPr>
                          <w:rFonts w:ascii="Avenir Next LT Pro Light" w:hAnsi="Avenir Next LT Pro Light"/>
                          <w:color w:val="auto"/>
                        </w:rPr>
                        <w:instrText xml:space="preserve"> SEQ Figuur \* ARABIC \s 1 </w:instrText>
                      </w:r>
                      <w:r>
                        <w:rPr>
                          <w:rFonts w:ascii="Avenir Next LT Pro Light" w:hAnsi="Avenir Next LT Pro Light"/>
                          <w:color w:val="auto"/>
                        </w:rPr>
                        <w:fldChar w:fldCharType="separate"/>
                      </w:r>
                      <w:r>
                        <w:rPr>
                          <w:rFonts w:ascii="Avenir Next LT Pro Light" w:hAnsi="Avenir Next LT Pro Light"/>
                          <w:noProof/>
                          <w:color w:val="auto"/>
                        </w:rPr>
                        <w:t>1</w:t>
                      </w:r>
                      <w:r>
                        <w:rPr>
                          <w:rFonts w:ascii="Avenir Next LT Pro Light" w:hAnsi="Avenir Next LT Pro Light"/>
                          <w:color w:val="auto"/>
                        </w:rPr>
                        <w:fldChar w:fldCharType="end"/>
                      </w:r>
                      <w:r w:rsidRPr="001C40D4">
                        <w:rPr>
                          <w:rFonts w:ascii="Avenir Next LT Pro Light" w:hAnsi="Avenir Next LT Pro Light"/>
                          <w:color w:val="auto"/>
                        </w:rPr>
                        <w:t xml:space="preserve"> Overzicht voertuigen en </w:t>
                      </w:r>
                      <w:proofErr w:type="spellStart"/>
                      <w:r w:rsidRPr="001C40D4">
                        <w:rPr>
                          <w:rFonts w:ascii="Avenir Next LT Pro Light" w:hAnsi="Avenir Next LT Pro Light"/>
                          <w:color w:val="auto"/>
                        </w:rPr>
                        <w:t>snellaadoplossingen</w:t>
                      </w:r>
                      <w:proofErr w:type="spellEnd"/>
                    </w:p>
                  </w:txbxContent>
                </v:textbox>
                <w10:wrap type="tight" anchorx="margin"/>
              </v:shape>
            </w:pict>
          </mc:Fallback>
        </mc:AlternateContent>
      </w:r>
      <w:r w:rsidR="00873A19">
        <w:rPr>
          <w:rFonts w:ascii="Avenir Next LT Pro Light" w:hAnsi="Avenir Next LT Pro Light"/>
          <w:noProof/>
          <w:lang w:eastAsia="nl-NL"/>
        </w:rPr>
        <w:drawing>
          <wp:anchor distT="0" distB="0" distL="114300" distR="114300" simplePos="0" relativeHeight="251660288" behindDoc="1" locked="0" layoutInCell="1" allowOverlap="1" wp14:anchorId="45290623" wp14:editId="51DD39F7">
            <wp:simplePos x="0" y="0"/>
            <wp:positionH relativeFrom="margin">
              <wp:align>right</wp:align>
            </wp:positionH>
            <wp:positionV relativeFrom="paragraph">
              <wp:posOffset>12700</wp:posOffset>
            </wp:positionV>
            <wp:extent cx="3841115" cy="3096895"/>
            <wp:effectExtent l="0" t="0" r="6985" b="8255"/>
            <wp:wrapTight wrapText="bothSides">
              <wp:wrapPolygon edited="0">
                <wp:start x="4392" y="0"/>
                <wp:lineTo x="0" y="1727"/>
                <wp:lineTo x="0" y="21525"/>
                <wp:lineTo x="4499" y="21525"/>
                <wp:lineTo x="21532" y="21525"/>
                <wp:lineTo x="21532" y="0"/>
                <wp:lineTo x="439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1115" cy="3096895"/>
                    </a:xfrm>
                    <a:prstGeom prst="rect">
                      <a:avLst/>
                    </a:prstGeom>
                    <a:noFill/>
                  </pic:spPr>
                </pic:pic>
              </a:graphicData>
            </a:graphic>
            <wp14:sizeRelH relativeFrom="page">
              <wp14:pctWidth>0</wp14:pctWidth>
            </wp14:sizeRelH>
            <wp14:sizeRelV relativeFrom="page">
              <wp14:pctHeight>0</wp14:pctHeight>
            </wp14:sizeRelV>
          </wp:anchor>
        </w:drawing>
      </w:r>
      <w:r w:rsidR="00873A19">
        <w:rPr>
          <w:rFonts w:ascii="Avenir Next LT Pro Light" w:hAnsi="Avenir Next LT Pro Light"/>
        </w:rPr>
        <w:t>De reden voor dit onderscheid is dat snellaadoplossingen voor deze verschillende formaten technisch en ruimtelijk zeer sterk afwijken. Zo is een 50kW lader voor een gewone personenauto een laadoplossing waar in zo’n 20 minuten 100</w:t>
      </w:r>
      <w:r w:rsidR="006F2874">
        <w:rPr>
          <w:rFonts w:ascii="Avenir Next LT Pro Light" w:hAnsi="Avenir Next LT Pro Light"/>
        </w:rPr>
        <w:t xml:space="preserve"> </w:t>
      </w:r>
      <w:r w:rsidR="00873A19">
        <w:rPr>
          <w:rFonts w:ascii="Avenir Next LT Pro Light" w:hAnsi="Avenir Next LT Pro Light"/>
        </w:rPr>
        <w:t>km bijgeladen kan worden. Voor een zware vrachtwagen is een 50kW laadoplossing er één waar zo’n 3 a 4 uur geladen moet worden om 100</w:t>
      </w:r>
      <w:r w:rsidR="006F2874">
        <w:rPr>
          <w:rFonts w:ascii="Avenir Next LT Pro Light" w:hAnsi="Avenir Next LT Pro Light"/>
        </w:rPr>
        <w:t xml:space="preserve"> </w:t>
      </w:r>
      <w:r w:rsidR="00873A19">
        <w:rPr>
          <w:rFonts w:ascii="Avenir Next LT Pro Light" w:hAnsi="Avenir Next LT Pro Light"/>
        </w:rPr>
        <w:t>km te kunnen rijden. Hierdoor wordt een 50 kW lader voor een vrachtwagen meestal gezien als een “reguliere” laadoplossing en geen snellaadoplossing.</w:t>
      </w:r>
    </w:p>
    <w:p w14:paraId="6B6DF066" w14:textId="4A9451B1" w:rsidR="00873A19" w:rsidRDefault="00873A19" w:rsidP="000131EB">
      <w:pPr>
        <w:spacing w:after="0" w:line="276" w:lineRule="auto"/>
        <w:rPr>
          <w:rFonts w:ascii="Avenir Next LT Pro Light" w:hAnsi="Avenir Next LT Pro Light"/>
        </w:rPr>
      </w:pPr>
      <w:r>
        <w:rPr>
          <w:rFonts w:ascii="Avenir Next LT Pro Light" w:hAnsi="Avenir Next LT Pro Light"/>
        </w:rPr>
        <w:t>Een andere reden voor het aanhouden voor het verschil tussen deze typen voertuigen is het ruimtegebruik dat de verschillende laadoplossingen kennen. Een vrachtwagen of bus vraagt om meer ruimte en zal ook op andere locaties geïntegreerd worden. Het formaat van voertuigen bepaal</w:t>
      </w:r>
      <w:r w:rsidR="009B6F4C">
        <w:rPr>
          <w:rFonts w:ascii="Avenir Next LT Pro Light" w:hAnsi="Avenir Next LT Pro Light"/>
        </w:rPr>
        <w:t>t</w:t>
      </w:r>
      <w:r>
        <w:rPr>
          <w:rFonts w:ascii="Avenir Next LT Pro Light" w:hAnsi="Avenir Next LT Pro Light"/>
        </w:rPr>
        <w:t xml:space="preserve"> ook in grote mate of er een mogelijkheid bestaat voor deelgebruik van laadinfrastructuur. </w:t>
      </w:r>
    </w:p>
    <w:p w14:paraId="73AC798E" w14:textId="77777777" w:rsidR="00D44C33" w:rsidRDefault="00D44C33" w:rsidP="000131EB">
      <w:pPr>
        <w:spacing w:after="0" w:line="276" w:lineRule="auto"/>
        <w:rPr>
          <w:rFonts w:ascii="Avenir Next LT Pro Light" w:hAnsi="Avenir Next LT Pro Light"/>
        </w:rPr>
      </w:pPr>
    </w:p>
    <w:p w14:paraId="3AC02A35" w14:textId="77777777" w:rsidR="00873A19" w:rsidRDefault="00873A19" w:rsidP="000131EB">
      <w:pPr>
        <w:spacing w:after="0" w:line="276" w:lineRule="auto"/>
        <w:rPr>
          <w:rFonts w:ascii="Avenir Next LT Pro Light" w:hAnsi="Avenir Next LT Pro Light"/>
          <w:i/>
          <w:iCs/>
        </w:rPr>
      </w:pPr>
      <w:r>
        <w:rPr>
          <w:rFonts w:ascii="Avenir Next LT Pro Light" w:hAnsi="Avenir Next LT Pro Light"/>
        </w:rPr>
        <w:t xml:space="preserve">Reguliere voertuigen zoals personenauto’s en bestelwagens kennen qua laadtechnieken en benodigde opstellingen tijdens het laden een grote overeenkomst. Hierdoor kunnen zij technisch gebruik maken van eenzelfde laadinfrastructuur. Het kan in de praktijk wel betekenen dat zij vanuit operationele wensen een andere laadinfrastructuur zullen gebruiken. Zo heeft een logistiek bedrijf een sterke economische motivatie om extra wachttijd (een onproductieve chauffeur) te voorkomen waardoor zij het liefst laden bij stopmomenten in hun dienstverlening. Hierdoor zal de meest geschikte locatie voor een snellader per gebruiker (doelgroep) afwijken. Om deze verschillende operationele wensen mee te nemen in de ontwikkeling van het snellaadnetwerk wordt ook gekeken naar de wensen van </w:t>
      </w:r>
      <w:r>
        <w:rPr>
          <w:rFonts w:ascii="Avenir Next LT Pro Light" w:hAnsi="Avenir Next LT Pro Light"/>
        </w:rPr>
        <w:lastRenderedPageBreak/>
        <w:t>verschillende gebruikersgroepen van deze snellaadinfrastructuur.</w:t>
      </w:r>
      <w:r w:rsidR="00A9291B">
        <w:rPr>
          <w:rFonts w:ascii="Avenir Next LT Pro Light" w:hAnsi="Avenir Next LT Pro Light"/>
        </w:rPr>
        <w:br/>
      </w:r>
    </w:p>
    <w:tbl>
      <w:tblPr>
        <w:tblStyle w:val="Tabelraster"/>
        <w:tblW w:w="0" w:type="auto"/>
        <w:tblLook w:val="04A0" w:firstRow="1" w:lastRow="0" w:firstColumn="1" w:lastColumn="0" w:noHBand="0" w:noVBand="1"/>
      </w:tblPr>
      <w:tblGrid>
        <w:gridCol w:w="8495"/>
      </w:tblGrid>
      <w:tr w:rsidR="00A9291B" w14:paraId="757CA20B" w14:textId="77777777" w:rsidTr="00A9291B">
        <w:tc>
          <w:tcPr>
            <w:tcW w:w="8495" w:type="dxa"/>
          </w:tcPr>
          <w:p w14:paraId="79200333" w14:textId="77777777" w:rsidR="00A9291B" w:rsidRPr="00C76666" w:rsidRDefault="00A9291B" w:rsidP="000131EB">
            <w:pPr>
              <w:spacing w:line="276" w:lineRule="auto"/>
              <w:rPr>
                <w:rFonts w:ascii="Avenir Next LT Pro Light" w:hAnsi="Avenir Next LT Pro Light"/>
                <w:i/>
                <w:iCs/>
                <w:sz w:val="18"/>
                <w:szCs w:val="20"/>
              </w:rPr>
            </w:pPr>
            <w:r w:rsidRPr="00C76666">
              <w:rPr>
                <w:rFonts w:ascii="Avenir Next LT Pro Light" w:hAnsi="Avenir Next LT Pro Light"/>
                <w:i/>
                <w:iCs/>
                <w:sz w:val="18"/>
                <w:szCs w:val="20"/>
              </w:rPr>
              <w:t>Onzekerheden snelladen bij grote voertuigen</w:t>
            </w:r>
            <w:r w:rsidRPr="00C76666">
              <w:rPr>
                <w:rFonts w:ascii="Avenir Next LT Pro Light" w:hAnsi="Avenir Next LT Pro Light"/>
                <w:i/>
                <w:iCs/>
                <w:sz w:val="18"/>
                <w:szCs w:val="20"/>
              </w:rPr>
              <w:br/>
            </w:r>
            <w:r w:rsidRPr="00C76666">
              <w:rPr>
                <w:rFonts w:ascii="Avenir Next LT Pro Light" w:hAnsi="Avenir Next LT Pro Light"/>
                <w:sz w:val="18"/>
                <w:szCs w:val="20"/>
              </w:rPr>
              <w:t>Bij grote voertuigen bestaat er nog veel onzekerheid over snelladen. Zowel technisch als in gebruik bestaan er grote onduidelijkheden. Hierbij lijkt er op dit moment vooral een verschil tussen OV-bussen en vrachtwagens te bestaan. OV-bussen kennen nu al laadmethodes die extreem hoge vermogens dekken (1MW) om zo tijdens de dienstregeling in extreem korte termijn snel wat bij te laden. Deze opportunity chargers maken nu vooral gebruik van een pantograaf systeem, een systeem dat niet lijkt toegepast te worden bij vrachtwagens. Hierdoor is het verwachtte deelgebruik van snelladers tussen vrachtwagen en OV-bussen laag of anders. Immers kan het nog steeds mogelijk zijn om verschillende laadsystemen op één locatie te realiseren waarbij wel zaken zoals de oprit, parkeervak of netaansluiting gedeeld worden.</w:t>
            </w:r>
          </w:p>
          <w:p w14:paraId="5C27B476" w14:textId="77777777" w:rsidR="00A9291B" w:rsidRPr="00C76666" w:rsidRDefault="00A9291B" w:rsidP="000131EB">
            <w:pPr>
              <w:spacing w:line="276" w:lineRule="auto"/>
              <w:rPr>
                <w:rFonts w:ascii="Avenir Next LT Pro Light" w:hAnsi="Avenir Next LT Pro Light"/>
                <w:i/>
                <w:iCs/>
                <w:sz w:val="18"/>
                <w:szCs w:val="20"/>
              </w:rPr>
            </w:pPr>
          </w:p>
          <w:p w14:paraId="7A42F34C" w14:textId="1198EBC9" w:rsidR="00A9291B" w:rsidRDefault="00A9291B" w:rsidP="000131EB">
            <w:pPr>
              <w:spacing w:line="276" w:lineRule="auto"/>
              <w:rPr>
                <w:rFonts w:ascii="Avenir Next LT Pro Light" w:hAnsi="Avenir Next LT Pro Light"/>
                <w:i/>
                <w:iCs/>
              </w:rPr>
            </w:pPr>
            <w:r w:rsidRPr="00C76666">
              <w:rPr>
                <w:rFonts w:ascii="Avenir Next LT Pro Light" w:hAnsi="Avenir Next LT Pro Light"/>
                <w:sz w:val="18"/>
                <w:szCs w:val="20"/>
              </w:rPr>
              <w:t xml:space="preserve">Het is wel te verwachten dat grote bakwagens en vrachtwagens snellaadinfrastructuur kunnen delen. Ook touringcars lijken gebruik te kunnen maken van deze snelladers alhoewel voertuigen in dit toepassingsgebied </w:t>
            </w:r>
            <w:r w:rsidR="009A2A52">
              <w:rPr>
                <w:rFonts w:ascii="Avenir Next LT Pro Light" w:hAnsi="Avenir Next LT Pro Light"/>
                <w:sz w:val="18"/>
                <w:szCs w:val="20"/>
              </w:rPr>
              <w:t xml:space="preserve">op dit moment </w:t>
            </w:r>
            <w:r w:rsidRPr="00C76666">
              <w:rPr>
                <w:rFonts w:ascii="Avenir Next LT Pro Light" w:hAnsi="Avenir Next LT Pro Light"/>
                <w:sz w:val="18"/>
                <w:szCs w:val="20"/>
              </w:rPr>
              <w:t xml:space="preserve">zeer schaars zijn. Voor het ontwikkelen van een laadnetwerk zou het gunstig zijn als laders door verschillende gebruikers gedeeld kunnen worden om zo dubbele investeringen te beperken. Omdat deze voertuigen een grote overeenkomst in formaat en hogere energievraag kennen zijn deze nu geclusterd in de </w:t>
            </w:r>
            <w:r w:rsidR="004E5903">
              <w:rPr>
                <w:rFonts w:ascii="Avenir Next LT Pro Light" w:hAnsi="Avenir Next LT Pro Light"/>
                <w:sz w:val="18"/>
                <w:szCs w:val="20"/>
              </w:rPr>
              <w:t>snellaad-</w:t>
            </w:r>
            <w:r w:rsidRPr="00C76666">
              <w:rPr>
                <w:rFonts w:ascii="Avenir Next LT Pro Light" w:hAnsi="Avenir Next LT Pro Light"/>
                <w:sz w:val="18"/>
                <w:szCs w:val="20"/>
              </w:rPr>
              <w:t>aanpak van MRA-E, in de wetenschap dat dit met de tijd kan veranderen.</w:t>
            </w:r>
          </w:p>
        </w:tc>
      </w:tr>
    </w:tbl>
    <w:p w14:paraId="49616E84" w14:textId="77777777" w:rsidR="00A9291B" w:rsidRDefault="00A9291B" w:rsidP="000131EB">
      <w:pPr>
        <w:spacing w:after="0" w:line="276" w:lineRule="auto"/>
        <w:rPr>
          <w:rFonts w:ascii="Avenir Next LT Pro Light" w:hAnsi="Avenir Next LT Pro Light"/>
          <w:b/>
          <w:bCs/>
        </w:rPr>
      </w:pPr>
    </w:p>
    <w:p w14:paraId="39D994CC" w14:textId="77777777" w:rsidR="00873A19" w:rsidRPr="006F2874" w:rsidRDefault="006F2874" w:rsidP="000131EB">
      <w:pPr>
        <w:spacing w:after="0" w:line="276" w:lineRule="auto"/>
        <w:rPr>
          <w:rFonts w:ascii="Avenir Next LT Pro Light" w:hAnsi="Avenir Next LT Pro Light"/>
          <w:b/>
          <w:bCs/>
        </w:rPr>
      </w:pPr>
      <w:r>
        <w:rPr>
          <w:rFonts w:ascii="Avenir Next LT Pro Light" w:hAnsi="Avenir Next LT Pro Light"/>
          <w:b/>
          <w:bCs/>
        </w:rPr>
        <w:t>O</w:t>
      </w:r>
      <w:r w:rsidR="00873A19" w:rsidRPr="006F2874">
        <w:rPr>
          <w:rFonts w:ascii="Avenir Next LT Pro Light" w:hAnsi="Avenir Next LT Pro Light"/>
          <w:b/>
          <w:bCs/>
        </w:rPr>
        <w:t>ntwikkelingen snelladen bij  reguliere voertuigen</w:t>
      </w:r>
    </w:p>
    <w:p w14:paraId="6B2E1D97" w14:textId="23C03D81" w:rsidR="00873A19" w:rsidRDefault="00873A19" w:rsidP="000131EB">
      <w:pPr>
        <w:spacing w:after="0" w:line="276" w:lineRule="auto"/>
        <w:rPr>
          <w:rFonts w:ascii="Avenir Next LT Pro Light" w:hAnsi="Avenir Next LT Pro Light"/>
        </w:rPr>
      </w:pPr>
      <w:r>
        <w:rPr>
          <w:rFonts w:ascii="Avenir Next LT Pro Light" w:hAnsi="Avenir Next LT Pro Light"/>
        </w:rPr>
        <w:t xml:space="preserve">De ontwikkeling bij snelladen voor voertuigen van regulier formaat is groot. Zo is de afgelopen jaren een trend te zien naar steeds snellere laadoplossingen. </w:t>
      </w:r>
      <w:r w:rsidR="000434D0">
        <w:rPr>
          <w:rFonts w:ascii="Avenir Next LT Pro Light" w:hAnsi="Avenir Next LT Pro Light"/>
        </w:rPr>
        <w:t>Er zijn</w:t>
      </w:r>
      <w:r>
        <w:rPr>
          <w:rFonts w:ascii="Avenir Next LT Pro Light" w:hAnsi="Avenir Next LT Pro Light"/>
        </w:rPr>
        <w:t xml:space="preserve"> al snelladers uitgerold van 350kW waarbij voertuigen in potentie 7 keer sneller kunnen laden dan bij een 50kW lader. Echter zijn er nu nog vrijwel geen voertuigen op de markt die deze laadinfrastructuur ook daadwerkelijk op die snelheid kunnen gebruiken. Daarnaast is de investering </w:t>
      </w:r>
      <w:r w:rsidR="000434D0">
        <w:rPr>
          <w:rFonts w:ascii="Avenir Next LT Pro Light" w:hAnsi="Avenir Next LT Pro Light"/>
        </w:rPr>
        <w:t>i</w:t>
      </w:r>
      <w:r>
        <w:rPr>
          <w:rFonts w:ascii="Avenir Next LT Pro Light" w:hAnsi="Avenir Next LT Pro Light"/>
        </w:rPr>
        <w:t xml:space="preserve">n een </w:t>
      </w:r>
      <w:r w:rsidR="004E5903">
        <w:rPr>
          <w:rFonts w:ascii="Avenir Next LT Pro Light" w:hAnsi="Avenir Next LT Pro Light"/>
        </w:rPr>
        <w:t>3</w:t>
      </w:r>
      <w:r>
        <w:rPr>
          <w:rFonts w:ascii="Avenir Next LT Pro Light" w:hAnsi="Avenir Next LT Pro Light"/>
        </w:rPr>
        <w:t xml:space="preserve">50kW lader </w:t>
      </w:r>
      <w:r w:rsidR="000434D0">
        <w:rPr>
          <w:rFonts w:ascii="Avenir Next LT Pro Light" w:hAnsi="Avenir Next LT Pro Light"/>
        </w:rPr>
        <w:t xml:space="preserve">vele malen hoger </w:t>
      </w:r>
      <w:r>
        <w:rPr>
          <w:rFonts w:ascii="Avenir Next LT Pro Light" w:hAnsi="Avenir Next LT Pro Light"/>
        </w:rPr>
        <w:t xml:space="preserve">dan een 50kW lader omdat deze met speciale gekoelde laadkabels moeten werken. Het is wel duidelijk dat om voldoende in te spelen op </w:t>
      </w:r>
      <w:r w:rsidR="006F2874">
        <w:rPr>
          <w:rFonts w:ascii="Avenir Next LT Pro Light" w:hAnsi="Avenir Next LT Pro Light"/>
        </w:rPr>
        <w:t>de</w:t>
      </w:r>
      <w:r>
        <w:rPr>
          <w:rFonts w:ascii="Avenir Next LT Pro Light" w:hAnsi="Avenir Next LT Pro Light"/>
        </w:rPr>
        <w:t xml:space="preserve"> versnelling die plaatsvindt</w:t>
      </w:r>
      <w:r w:rsidR="006F2874">
        <w:rPr>
          <w:rFonts w:ascii="Avenir Next LT Pro Light" w:hAnsi="Avenir Next LT Pro Light"/>
        </w:rPr>
        <w:t>, het van belang is</w:t>
      </w:r>
      <w:r>
        <w:rPr>
          <w:rFonts w:ascii="Avenir Next LT Pro Light" w:hAnsi="Avenir Next LT Pro Light"/>
        </w:rPr>
        <w:t xml:space="preserve"> te streven naar een minimale laadsnelheid van 50kW bij de meeste publieke laadlocaties. Lagere laadsnelheden lijken voor de meeste gebruikers te beperkt, zeker nu de snellaadmogelijkheden van voertuigen nog toenemen. </w:t>
      </w:r>
    </w:p>
    <w:p w14:paraId="63320EA2" w14:textId="77777777" w:rsidR="00D44C33" w:rsidRDefault="00D44C33" w:rsidP="000131EB">
      <w:pPr>
        <w:spacing w:after="0" w:line="276" w:lineRule="auto"/>
        <w:rPr>
          <w:rFonts w:ascii="Avenir Next LT Pro Light" w:hAnsi="Avenir Next LT Pro Light"/>
        </w:rPr>
      </w:pPr>
    </w:p>
    <w:p w14:paraId="12684288" w14:textId="77777777" w:rsidR="000434D0" w:rsidRDefault="00873A19" w:rsidP="000131EB">
      <w:pPr>
        <w:spacing w:after="0" w:line="276" w:lineRule="auto"/>
        <w:rPr>
          <w:rFonts w:ascii="Avenir Next LT Pro Light" w:hAnsi="Avenir Next LT Pro Light"/>
        </w:rPr>
      </w:pPr>
      <w:r>
        <w:rPr>
          <w:rFonts w:ascii="Avenir Next LT Pro Light" w:hAnsi="Avenir Next LT Pro Light"/>
        </w:rPr>
        <w:t>Het inschatten van het benodigde aantal snelladers in de MRA</w:t>
      </w:r>
      <w:r w:rsidR="006F2874">
        <w:rPr>
          <w:rFonts w:ascii="Avenir Next LT Pro Light" w:hAnsi="Avenir Next LT Pro Light"/>
        </w:rPr>
        <w:t>-E</w:t>
      </w:r>
      <w:r>
        <w:rPr>
          <w:rFonts w:ascii="Avenir Next LT Pro Light" w:hAnsi="Avenir Next LT Pro Light"/>
        </w:rPr>
        <w:t xml:space="preserve"> regio is moeilijk. Dit komt doordat de ontwikkeling in de snelheid van laden, de ontwikkeling van de gebruiker en de ontwikkeling van alternatieve laadoplossingen nog veel onduidelijkheid oplevert. </w:t>
      </w:r>
      <w:r w:rsidR="000434D0">
        <w:rPr>
          <w:rFonts w:ascii="Avenir Next LT Pro Light" w:hAnsi="Avenir Next LT Pro Light"/>
        </w:rPr>
        <w:t xml:space="preserve">Prognoses laten zien dat </w:t>
      </w:r>
      <w:r>
        <w:rPr>
          <w:rFonts w:ascii="Avenir Next LT Pro Light" w:hAnsi="Avenir Next LT Pro Light"/>
        </w:rPr>
        <w:t>er in 2030</w:t>
      </w:r>
      <w:r w:rsidR="000434D0">
        <w:rPr>
          <w:rFonts w:ascii="Avenir Next LT Pro Light" w:hAnsi="Avenir Next LT Pro Light"/>
        </w:rPr>
        <w:t xml:space="preserve"> ca. 1.400 tot 1.900 snelladers nodig zijn</w:t>
      </w:r>
      <w:r w:rsidR="000434D0">
        <w:rPr>
          <w:rStyle w:val="Voetnootmarkering"/>
          <w:rFonts w:ascii="Avenir Next LT Pro Light" w:hAnsi="Avenir Next LT Pro Light"/>
        </w:rPr>
        <w:footnoteReference w:id="12"/>
      </w:r>
      <w:r w:rsidR="005B72BB">
        <w:rPr>
          <w:rFonts w:ascii="Avenir Next LT Pro Light" w:hAnsi="Avenir Next LT Pro Light"/>
        </w:rPr>
        <w:t xml:space="preserve"> </w:t>
      </w:r>
      <w:r w:rsidR="000434D0">
        <w:rPr>
          <w:rStyle w:val="Voetnootmarkering"/>
          <w:rFonts w:ascii="Avenir Next LT Pro Light" w:hAnsi="Avenir Next LT Pro Light"/>
        </w:rPr>
        <w:footnoteReference w:id="13"/>
      </w:r>
      <w:r w:rsidR="000434D0">
        <w:rPr>
          <w:rFonts w:ascii="Avenir Next LT Pro Light" w:hAnsi="Avenir Next LT Pro Light"/>
        </w:rPr>
        <w:t xml:space="preserve">. </w:t>
      </w:r>
    </w:p>
    <w:p w14:paraId="44CD218A" w14:textId="3BE68B4E" w:rsidR="00873A19" w:rsidRDefault="00873A19" w:rsidP="000131EB">
      <w:pPr>
        <w:spacing w:after="0" w:line="276" w:lineRule="auto"/>
        <w:rPr>
          <w:rFonts w:ascii="Avenir Next LT Pro Light" w:hAnsi="Avenir Next LT Pro Light"/>
        </w:rPr>
      </w:pPr>
      <w:r>
        <w:rPr>
          <w:rFonts w:ascii="Avenir Next LT Pro Light" w:hAnsi="Avenir Next LT Pro Light"/>
        </w:rPr>
        <w:t>Naast dat het benodigde aantal laadpunten nog een grot</w:t>
      </w:r>
      <w:r w:rsidR="007C1F17">
        <w:rPr>
          <w:rFonts w:ascii="Avenir Next LT Pro Light" w:hAnsi="Avenir Next LT Pro Light"/>
        </w:rPr>
        <w:t>e</w:t>
      </w:r>
      <w:r>
        <w:rPr>
          <w:rFonts w:ascii="Avenir Next LT Pro Light" w:hAnsi="Avenir Next LT Pro Light"/>
        </w:rPr>
        <w:t xml:space="preserve"> onzekerheid kent</w:t>
      </w:r>
      <w:r w:rsidR="007C1F17">
        <w:rPr>
          <w:rFonts w:ascii="Avenir Next LT Pro Light" w:hAnsi="Avenir Next LT Pro Light"/>
        </w:rPr>
        <w:t>,</w:t>
      </w:r>
      <w:r>
        <w:rPr>
          <w:rFonts w:ascii="Avenir Next LT Pro Light" w:hAnsi="Avenir Next LT Pro Light"/>
        </w:rPr>
        <w:t xml:space="preserve"> valt ook op dat veel overheden (in lijn met NAL</w:t>
      </w:r>
      <w:r w:rsidR="007C1F17">
        <w:rPr>
          <w:rFonts w:ascii="Avenir Next LT Pro Light" w:hAnsi="Avenir Next LT Pro Light"/>
        </w:rPr>
        <w:t>-</w:t>
      </w:r>
      <w:r>
        <w:rPr>
          <w:rFonts w:ascii="Avenir Next LT Pro Light" w:hAnsi="Avenir Next LT Pro Light"/>
        </w:rPr>
        <w:t xml:space="preserve">beleid) </w:t>
      </w:r>
      <w:r w:rsidR="009A2A52">
        <w:rPr>
          <w:rFonts w:ascii="Avenir Next LT Pro Light" w:hAnsi="Avenir Next LT Pro Light"/>
        </w:rPr>
        <w:t>zich richten</w:t>
      </w:r>
      <w:r>
        <w:rPr>
          <w:rFonts w:ascii="Avenir Next LT Pro Light" w:hAnsi="Avenir Next LT Pro Light"/>
        </w:rPr>
        <w:t xml:space="preserve"> op een horizon van 10 jaar</w:t>
      </w:r>
      <w:r w:rsidR="007C1F17">
        <w:rPr>
          <w:rFonts w:ascii="Avenir Next LT Pro Light" w:hAnsi="Avenir Next LT Pro Light"/>
        </w:rPr>
        <w:t>, oftewel</w:t>
      </w:r>
      <w:r>
        <w:rPr>
          <w:rFonts w:ascii="Avenir Next LT Pro Light" w:hAnsi="Avenir Next LT Pro Light"/>
        </w:rPr>
        <w:t xml:space="preserve"> tot 2030. Dit terwijl veel stakeholders </w:t>
      </w:r>
      <w:r w:rsidR="000434D0">
        <w:rPr>
          <w:rFonts w:ascii="Avenir Next LT Pro Light" w:hAnsi="Avenir Next LT Pro Light"/>
        </w:rPr>
        <w:t xml:space="preserve">die </w:t>
      </w:r>
      <w:r>
        <w:rPr>
          <w:rFonts w:ascii="Avenir Next LT Pro Light" w:hAnsi="Avenir Next LT Pro Light"/>
        </w:rPr>
        <w:t>betrokken</w:t>
      </w:r>
      <w:r w:rsidR="009A2A52">
        <w:rPr>
          <w:rFonts w:ascii="Avenir Next LT Pro Light" w:hAnsi="Avenir Next LT Pro Light"/>
        </w:rPr>
        <w:t xml:space="preserve"> zijn</w:t>
      </w:r>
      <w:r>
        <w:rPr>
          <w:rFonts w:ascii="Avenir Next LT Pro Light" w:hAnsi="Avenir Next LT Pro Light"/>
        </w:rPr>
        <w:t xml:space="preserve"> bij snelladen een veel langere horizon hanteren. Zo investeren veel marktpartijen met een langere horizon (vaak 15 jaar) en investeren netbeheerders in een energienet dat vaak in zeer lange termijnen wordt afgeschreven (termijnen van 30 jaar zijn gangbaar). Doordat er een ambitie in Nederland bestaat om vanaf 2030 enkel zero emissie (personen)voertuigen te verkopen is het verruimen van de horizon zeer relevant. </w:t>
      </w:r>
      <w:r w:rsidR="000434D0">
        <w:rPr>
          <w:rFonts w:ascii="Avenir Next LT Pro Light" w:hAnsi="Avenir Next LT Pro Light"/>
        </w:rPr>
        <w:t>O</w:t>
      </w:r>
      <w:r>
        <w:rPr>
          <w:rFonts w:ascii="Avenir Next LT Pro Light" w:hAnsi="Avenir Next LT Pro Light"/>
        </w:rPr>
        <w:t>p basis van de TNO</w:t>
      </w:r>
      <w:r w:rsidR="007C1F17">
        <w:rPr>
          <w:rFonts w:ascii="Avenir Next LT Pro Light" w:hAnsi="Avenir Next LT Pro Light"/>
        </w:rPr>
        <w:t xml:space="preserve"> </w:t>
      </w:r>
      <w:r>
        <w:rPr>
          <w:rFonts w:ascii="Avenir Next LT Pro Light" w:hAnsi="Avenir Next LT Pro Light"/>
        </w:rPr>
        <w:t xml:space="preserve">studie </w:t>
      </w:r>
      <w:r w:rsidR="009A2A52">
        <w:rPr>
          <w:rFonts w:ascii="Avenir Next LT Pro Light" w:hAnsi="Avenir Next LT Pro Light"/>
        </w:rPr>
        <w:t xml:space="preserve">wordt </w:t>
      </w:r>
      <w:r>
        <w:rPr>
          <w:rFonts w:ascii="Avenir Next LT Pro Light" w:hAnsi="Avenir Next LT Pro Light"/>
        </w:rPr>
        <w:t xml:space="preserve">ingeschat dat een verdubbeling van het aantal </w:t>
      </w:r>
      <w:r w:rsidR="009A2A52">
        <w:rPr>
          <w:rFonts w:ascii="Avenir Next LT Pro Light" w:hAnsi="Avenir Next LT Pro Light"/>
        </w:rPr>
        <w:t>snellaad</w:t>
      </w:r>
      <w:r>
        <w:rPr>
          <w:rFonts w:ascii="Avenir Next LT Pro Light" w:hAnsi="Avenir Next LT Pro Light"/>
        </w:rPr>
        <w:t xml:space="preserve">locaties tussen 2030 en 2035 nodig is. </w:t>
      </w:r>
    </w:p>
    <w:p w14:paraId="0C8C8593" w14:textId="77777777" w:rsidR="00D44C33" w:rsidRDefault="00D44C33" w:rsidP="000131EB">
      <w:pPr>
        <w:spacing w:after="0" w:line="276" w:lineRule="auto"/>
        <w:rPr>
          <w:rFonts w:ascii="Avenir Next LT Pro Light" w:hAnsi="Avenir Next LT Pro Light"/>
        </w:rPr>
      </w:pPr>
    </w:p>
    <w:p w14:paraId="05ED1519" w14:textId="3E1738FA" w:rsidR="00873A19" w:rsidRDefault="00873A19" w:rsidP="000131EB">
      <w:pPr>
        <w:spacing w:after="0" w:line="276" w:lineRule="auto"/>
        <w:rPr>
          <w:rFonts w:ascii="Avenir Next LT Pro Light" w:hAnsi="Avenir Next LT Pro Light"/>
        </w:rPr>
      </w:pPr>
      <w:r>
        <w:rPr>
          <w:rFonts w:ascii="Avenir Next LT Pro Light" w:hAnsi="Avenir Next LT Pro Light"/>
        </w:rPr>
        <w:lastRenderedPageBreak/>
        <w:t xml:space="preserve">Door bovenstaande onzekerheden </w:t>
      </w:r>
      <w:r w:rsidR="007C1F17">
        <w:rPr>
          <w:rFonts w:ascii="Avenir Next LT Pro Light" w:hAnsi="Avenir Next LT Pro Light"/>
        </w:rPr>
        <w:t>richt</w:t>
      </w:r>
      <w:r>
        <w:rPr>
          <w:rFonts w:ascii="Avenir Next LT Pro Light" w:hAnsi="Avenir Next LT Pro Light"/>
        </w:rPr>
        <w:t xml:space="preserve"> MRA</w:t>
      </w:r>
      <w:r w:rsidR="007C1F17">
        <w:rPr>
          <w:rFonts w:ascii="Avenir Next LT Pro Light" w:hAnsi="Avenir Next LT Pro Light"/>
        </w:rPr>
        <w:t>-E</w:t>
      </w:r>
      <w:r>
        <w:rPr>
          <w:rFonts w:ascii="Avenir Next LT Pro Light" w:hAnsi="Avenir Next LT Pro Light"/>
        </w:rPr>
        <w:t xml:space="preserve"> zich op dit moment niet op een getalsmatige aanpak voor de realisatie van voldoende snelladers in 2030</w:t>
      </w:r>
      <w:r w:rsidR="00B036F8">
        <w:rPr>
          <w:rFonts w:ascii="Avenir Next LT Pro Light" w:hAnsi="Avenir Next LT Pro Light"/>
        </w:rPr>
        <w:t xml:space="preserve"> maar </w:t>
      </w:r>
      <w:r w:rsidR="00CB5004">
        <w:rPr>
          <w:rFonts w:ascii="Avenir Next LT Pro Light" w:hAnsi="Avenir Next LT Pro Light"/>
        </w:rPr>
        <w:t>draagt uit dat tegelijkertijd niet gewacht moet worden met het uitrollen van snellaadinfrastructuur. Hoewel de ontwikkelingen onzeker zijn, weten we wel zeker dat snelladers nodig zijn</w:t>
      </w:r>
      <w:r>
        <w:rPr>
          <w:rFonts w:ascii="Avenir Next LT Pro Light" w:hAnsi="Avenir Next LT Pro Light"/>
        </w:rPr>
        <w:t xml:space="preserve">. </w:t>
      </w:r>
      <w:r w:rsidR="00CB5004">
        <w:rPr>
          <w:rFonts w:ascii="Avenir Next LT Pro Light" w:hAnsi="Avenir Next LT Pro Light"/>
        </w:rPr>
        <w:t>Daarnaast richt</w:t>
      </w:r>
      <w:r w:rsidR="009A2A52">
        <w:rPr>
          <w:rFonts w:ascii="Avenir Next LT Pro Light" w:hAnsi="Avenir Next LT Pro Light"/>
        </w:rPr>
        <w:t xml:space="preserve"> MRA-E</w:t>
      </w:r>
      <w:r w:rsidR="00CB5004">
        <w:rPr>
          <w:rFonts w:ascii="Avenir Next LT Pro Light" w:hAnsi="Avenir Next LT Pro Light"/>
        </w:rPr>
        <w:t xml:space="preserve"> zich op</w:t>
      </w:r>
      <w:r>
        <w:rPr>
          <w:rFonts w:ascii="Avenir Next LT Pro Light" w:hAnsi="Avenir Next LT Pro Light"/>
        </w:rPr>
        <w:t xml:space="preserve"> het ontwikkelen van belangrijke bouwblokken</w:t>
      </w:r>
      <w:r w:rsidR="00A72130">
        <w:rPr>
          <w:rFonts w:ascii="Avenir Next LT Pro Light" w:hAnsi="Avenir Next LT Pro Light"/>
        </w:rPr>
        <w:t xml:space="preserve">, </w:t>
      </w:r>
      <w:r>
        <w:rPr>
          <w:rFonts w:ascii="Avenir Next LT Pro Light" w:hAnsi="Avenir Next LT Pro Light"/>
        </w:rPr>
        <w:t>zoals het proactief in kaart brengen van mogelijke locaties</w:t>
      </w:r>
      <w:r w:rsidR="00A72130">
        <w:rPr>
          <w:rFonts w:ascii="Avenir Next LT Pro Light" w:hAnsi="Avenir Next LT Pro Light"/>
        </w:rPr>
        <w:t>,</w:t>
      </w:r>
      <w:r>
        <w:rPr>
          <w:rFonts w:ascii="Avenir Next LT Pro Light" w:hAnsi="Avenir Next LT Pro Light"/>
        </w:rPr>
        <w:t xml:space="preserve"> om een snelle groei mogelijk te maken. Hierbij is het de ambitie om niet alleen de horizon van 2030 in beeld te houden maar ook verder te kijken zodat er ook na 2030 nog voldoende ruimte voor opschaling van laadinfrastructuur mogelijk is. </w:t>
      </w:r>
    </w:p>
    <w:p w14:paraId="734F1880" w14:textId="77777777" w:rsidR="00873A19" w:rsidRPr="00FA39ED" w:rsidRDefault="00873A19" w:rsidP="000131EB">
      <w:pPr>
        <w:spacing w:after="0" w:line="276" w:lineRule="auto"/>
        <w:rPr>
          <w:rFonts w:ascii="Avenir Next LT Pro Light" w:hAnsi="Avenir Next LT Pro Light"/>
        </w:rPr>
      </w:pPr>
    </w:p>
    <w:p w14:paraId="3C6BDE16" w14:textId="77777777" w:rsidR="00873A19" w:rsidRPr="006F2874" w:rsidRDefault="00873A19" w:rsidP="000131EB">
      <w:pPr>
        <w:spacing w:after="0" w:line="276" w:lineRule="auto"/>
        <w:rPr>
          <w:rFonts w:ascii="Avenir Next LT Pro Light" w:hAnsi="Avenir Next LT Pro Light"/>
          <w:b/>
          <w:bCs/>
        </w:rPr>
      </w:pPr>
      <w:r w:rsidRPr="006F2874">
        <w:rPr>
          <w:rFonts w:ascii="Avenir Next LT Pro Light" w:hAnsi="Avenir Next LT Pro Light"/>
          <w:b/>
          <w:bCs/>
        </w:rPr>
        <w:t>Specifieke ontwikkeling snelladen bij grote voertuigen</w:t>
      </w:r>
    </w:p>
    <w:p w14:paraId="1133C7F0" w14:textId="736A82E7" w:rsidR="00873A19" w:rsidRDefault="00873A19" w:rsidP="000131EB">
      <w:pPr>
        <w:spacing w:after="0" w:line="276" w:lineRule="auto"/>
        <w:rPr>
          <w:rFonts w:ascii="Avenir Next LT Pro Light" w:hAnsi="Avenir Next LT Pro Light"/>
        </w:rPr>
      </w:pPr>
      <w:r>
        <w:rPr>
          <w:rFonts w:ascii="Avenir Next LT Pro Light" w:hAnsi="Avenir Next LT Pro Light"/>
        </w:rPr>
        <w:t>Grote elektrische voertuigen zitten in een andere ontwikkelingsfase dan voertuigen van regulier formaat. Met uitzondering van OV-bussen is er nog weinig ervaring met de elektrificatie van deze grote voertuigen. Ook bestaan er nog vragen over de ma</w:t>
      </w:r>
      <w:r w:rsidR="00CB5004">
        <w:rPr>
          <w:rFonts w:ascii="Avenir Next LT Pro Light" w:hAnsi="Avenir Next LT Pro Light"/>
        </w:rPr>
        <w:t>nier</w:t>
      </w:r>
      <w:r>
        <w:rPr>
          <w:rFonts w:ascii="Avenir Next LT Pro Light" w:hAnsi="Avenir Next LT Pro Light"/>
        </w:rPr>
        <w:t xml:space="preserve"> van elektrificatie</w:t>
      </w:r>
      <w:r w:rsidR="00CB5004">
        <w:rPr>
          <w:rFonts w:ascii="Avenir Next LT Pro Light" w:hAnsi="Avenir Next LT Pro Light"/>
        </w:rPr>
        <w:t xml:space="preserve"> waarbij zowel waterstof voertuigen </w:t>
      </w:r>
      <w:r w:rsidR="00A72130">
        <w:rPr>
          <w:rFonts w:ascii="Avenir Next LT Pro Light" w:hAnsi="Avenir Next LT Pro Light"/>
        </w:rPr>
        <w:t>als</w:t>
      </w:r>
      <w:r w:rsidR="00CB5004">
        <w:rPr>
          <w:rFonts w:ascii="Avenir Next LT Pro Light" w:hAnsi="Avenir Next LT Pro Light"/>
        </w:rPr>
        <w:t xml:space="preserve"> volledig elektrische varianten mogelijk zijn</w:t>
      </w:r>
      <w:r>
        <w:rPr>
          <w:rFonts w:ascii="Avenir Next LT Pro Light" w:hAnsi="Avenir Next LT Pro Light"/>
        </w:rPr>
        <w:t xml:space="preserve">. </w:t>
      </w:r>
      <w:r w:rsidR="00CB5004">
        <w:rPr>
          <w:rFonts w:ascii="Avenir Next LT Pro Light" w:hAnsi="Avenir Next LT Pro Light"/>
        </w:rPr>
        <w:t xml:space="preserve">Toch lijken volledig elektrische zware voertuigen hierbij een prominente rol te gaan spelen. </w:t>
      </w:r>
      <w:r>
        <w:rPr>
          <w:rFonts w:ascii="Avenir Next LT Pro Light" w:hAnsi="Avenir Next LT Pro Light"/>
        </w:rPr>
        <w:t xml:space="preserve">Dit geldt zeker voor voertuigen in de </w:t>
      </w:r>
      <w:r w:rsidR="00CB5004">
        <w:rPr>
          <w:rFonts w:ascii="Avenir Next LT Pro Light" w:hAnsi="Avenir Next LT Pro Light"/>
        </w:rPr>
        <w:t>zware stads</w:t>
      </w:r>
      <w:r>
        <w:rPr>
          <w:rFonts w:ascii="Avenir Next LT Pro Light" w:hAnsi="Avenir Next LT Pro Light"/>
        </w:rPr>
        <w:t xml:space="preserve">logistiek, maar er zijn steeds meer ontwikkelingen in de richting van </w:t>
      </w:r>
      <w:r w:rsidR="00CB5004">
        <w:rPr>
          <w:rFonts w:ascii="Avenir Next LT Pro Light" w:hAnsi="Avenir Next LT Pro Light"/>
        </w:rPr>
        <w:t xml:space="preserve">volledig </w:t>
      </w:r>
      <w:r>
        <w:rPr>
          <w:rFonts w:ascii="Avenir Next LT Pro Light" w:hAnsi="Avenir Next LT Pro Light"/>
        </w:rPr>
        <w:t xml:space="preserve">elektrische vrachtwagens die ook regionaal en internationaal transport mogelijk moeten maken. De Hogeschool van Amsterdam houdt een lijst bij van beschikbare en aangekondigde Zero Emissie </w:t>
      </w:r>
      <w:r w:rsidR="007C1F17">
        <w:rPr>
          <w:rFonts w:ascii="Avenir Next LT Pro Light" w:hAnsi="Avenir Next LT Pro Light"/>
        </w:rPr>
        <w:t xml:space="preserve">(ZE) </w:t>
      </w:r>
      <w:r>
        <w:rPr>
          <w:rFonts w:ascii="Avenir Next LT Pro Light" w:hAnsi="Avenir Next LT Pro Light"/>
        </w:rPr>
        <w:t>productievoertuigen voor de Topsector Logistiek. Op 1</w:t>
      </w:r>
      <w:r w:rsidR="007C1F17">
        <w:rPr>
          <w:rFonts w:ascii="Avenir Next LT Pro Light" w:hAnsi="Avenir Next LT Pro Light"/>
        </w:rPr>
        <w:t xml:space="preserve"> december </w:t>
      </w:r>
      <w:r>
        <w:rPr>
          <w:rFonts w:ascii="Avenir Next LT Pro Light" w:hAnsi="Avenir Next LT Pro Light"/>
        </w:rPr>
        <w:t>2020 waren er 39 volledig elektrische varianten, 11 plug-in hybriden en 2 waterstof varianten bekend.</w:t>
      </w:r>
      <w:r w:rsidRPr="00D845E2">
        <w:rPr>
          <w:rFonts w:ascii="Avenir Next LT Pro Light" w:hAnsi="Avenir Next LT Pro Light"/>
        </w:rPr>
        <w:t xml:space="preserve"> </w:t>
      </w:r>
      <w:r>
        <w:rPr>
          <w:rFonts w:ascii="Avenir Next LT Pro Light" w:hAnsi="Avenir Next LT Pro Light"/>
        </w:rPr>
        <w:t>Het lijk dan ook aannemelijk dat een groot gedeelte van de zware ZE voertuigen in Nederland op korte/midde</w:t>
      </w:r>
      <w:r w:rsidR="00A72130">
        <w:rPr>
          <w:rFonts w:ascii="Avenir Next LT Pro Light" w:hAnsi="Avenir Next LT Pro Light"/>
        </w:rPr>
        <w:t>ll</w:t>
      </w:r>
      <w:r>
        <w:rPr>
          <w:rFonts w:ascii="Avenir Next LT Pro Light" w:hAnsi="Avenir Next LT Pro Light"/>
        </w:rPr>
        <w:t>ange termijn vooral (volledig) elektrisch zal zijn.</w:t>
      </w:r>
    </w:p>
    <w:p w14:paraId="0A8A02C7" w14:textId="77777777" w:rsidR="00D44C33" w:rsidRDefault="00D44C33" w:rsidP="000131EB">
      <w:pPr>
        <w:spacing w:after="0" w:line="276" w:lineRule="auto"/>
        <w:rPr>
          <w:rFonts w:ascii="Avenir Next LT Pro Light" w:hAnsi="Avenir Next LT Pro Light"/>
        </w:rPr>
      </w:pPr>
    </w:p>
    <w:p w14:paraId="6B9955CC" w14:textId="3280D5D1" w:rsidR="00873A19" w:rsidRDefault="00873A19" w:rsidP="000131EB">
      <w:pPr>
        <w:spacing w:after="0" w:line="276" w:lineRule="auto"/>
        <w:rPr>
          <w:rFonts w:ascii="Avenir Next LT Pro Light" w:hAnsi="Avenir Next LT Pro Light"/>
        </w:rPr>
      </w:pPr>
      <w:r>
        <w:rPr>
          <w:rFonts w:ascii="Avenir Next LT Pro Light" w:hAnsi="Avenir Next LT Pro Light"/>
        </w:rPr>
        <w:t xml:space="preserve">Voor volledige elektrische voertuigen bestaan er nog veel vragen over de benodigde snellaadinfrastructuur. </w:t>
      </w:r>
      <w:r w:rsidR="00CB5004">
        <w:rPr>
          <w:rFonts w:ascii="Avenir Next LT Pro Light" w:hAnsi="Avenir Next LT Pro Light"/>
        </w:rPr>
        <w:t>D</w:t>
      </w:r>
      <w:r>
        <w:rPr>
          <w:rFonts w:ascii="Avenir Next LT Pro Light" w:hAnsi="Avenir Next LT Pro Light"/>
        </w:rPr>
        <w:t xml:space="preserve">e huidige verwachting </w:t>
      </w:r>
      <w:r w:rsidR="00CB5004">
        <w:rPr>
          <w:rFonts w:ascii="Avenir Next LT Pro Light" w:hAnsi="Avenir Next LT Pro Light"/>
        </w:rPr>
        <w:t xml:space="preserve">is </w:t>
      </w:r>
      <w:r>
        <w:rPr>
          <w:rFonts w:ascii="Avenir Next LT Pro Light" w:hAnsi="Avenir Next LT Pro Light"/>
        </w:rPr>
        <w:t xml:space="preserve">dat snelladen vanaf 350kW zal plaatsvinden (bij grotere vrachtwagens is dit zo’n 30 minuten laden voor 100km range). Echter zijn er ook standaarden in ontwikkeling die het laden tussen 1MW en 4MW mogelijk moeten maken. Het is daarbij nu nog onduidelijk wanneer er </w:t>
      </w:r>
      <w:r w:rsidR="00CB5004">
        <w:rPr>
          <w:rFonts w:ascii="Avenir Next LT Pro Light" w:hAnsi="Avenir Next LT Pro Light"/>
        </w:rPr>
        <w:t>v</w:t>
      </w:r>
      <w:r>
        <w:rPr>
          <w:rFonts w:ascii="Avenir Next LT Pro Light" w:hAnsi="Avenir Next LT Pro Light"/>
        </w:rPr>
        <w:t>oertuigen op de markt komen die deze snelheden aankunnen en in hoeverre Nederlandse logistieke partijen deze laadsnelheid ook nodig zullen hebben (de meeste voertuigen rijden geen zeer grote afstanden). MRA</w:t>
      </w:r>
      <w:r w:rsidR="007C1F17">
        <w:rPr>
          <w:rFonts w:ascii="Avenir Next LT Pro Light" w:hAnsi="Avenir Next LT Pro Light"/>
        </w:rPr>
        <w:t>-E</w:t>
      </w:r>
      <w:r>
        <w:rPr>
          <w:rFonts w:ascii="Avenir Next LT Pro Light" w:hAnsi="Avenir Next LT Pro Light"/>
        </w:rPr>
        <w:t xml:space="preserve"> richt zich vooralsnog op de laadstandaarden die al wel toepasbaar </w:t>
      </w:r>
      <w:r w:rsidR="00A72130">
        <w:rPr>
          <w:rFonts w:ascii="Avenir Next LT Pro Light" w:hAnsi="Avenir Next LT Pro Light"/>
        </w:rPr>
        <w:t>zijn</w:t>
      </w:r>
      <w:r>
        <w:rPr>
          <w:rFonts w:ascii="Avenir Next LT Pro Light" w:hAnsi="Avenir Next LT Pro Light"/>
        </w:rPr>
        <w:t xml:space="preserve"> en houdt een snellaadvermogen van 350kW als ondergrens aan voor grote voertuigen.</w:t>
      </w:r>
    </w:p>
    <w:p w14:paraId="747D5437" w14:textId="77777777" w:rsidR="00873A19" w:rsidRDefault="00873A19" w:rsidP="000131EB">
      <w:pPr>
        <w:spacing w:after="0" w:line="276" w:lineRule="auto"/>
        <w:rPr>
          <w:rFonts w:ascii="Avenir Next LT Pro Light" w:hAnsi="Avenir Next LT Pro Light"/>
          <w:b/>
          <w:bCs/>
        </w:rPr>
      </w:pPr>
    </w:p>
    <w:p w14:paraId="0714AB69" w14:textId="77777777" w:rsidR="00873A19" w:rsidRDefault="00873A19" w:rsidP="000131EB">
      <w:pPr>
        <w:spacing w:after="0" w:line="276" w:lineRule="auto"/>
        <w:rPr>
          <w:rFonts w:ascii="Avenir Next LT Pro Light" w:hAnsi="Avenir Next LT Pro Light"/>
          <w:b/>
          <w:bCs/>
        </w:rPr>
      </w:pPr>
      <w:r>
        <w:rPr>
          <w:rFonts w:ascii="Avenir Next LT Pro Light" w:hAnsi="Avenir Next LT Pro Light"/>
          <w:b/>
          <w:bCs/>
        </w:rPr>
        <w:t>E</w:t>
      </w:r>
      <w:r w:rsidRPr="005F591F">
        <w:rPr>
          <w:rFonts w:ascii="Avenir Next LT Pro Light" w:hAnsi="Avenir Next LT Pro Light"/>
          <w:b/>
          <w:bCs/>
        </w:rPr>
        <w:t xml:space="preserve">en andere </w:t>
      </w:r>
      <w:r>
        <w:rPr>
          <w:rFonts w:ascii="Avenir Next LT Pro Light" w:hAnsi="Avenir Next LT Pro Light"/>
          <w:b/>
          <w:bCs/>
        </w:rPr>
        <w:t>functie van laden vraagt om een andere rol</w:t>
      </w:r>
    </w:p>
    <w:p w14:paraId="3F007E23" w14:textId="77777777" w:rsidR="00873A19" w:rsidRDefault="00873A19" w:rsidP="000131EB">
      <w:pPr>
        <w:spacing w:after="0" w:line="276" w:lineRule="auto"/>
        <w:rPr>
          <w:rFonts w:ascii="Avenir Next LT Pro Light" w:hAnsi="Avenir Next LT Pro Light"/>
        </w:rPr>
      </w:pPr>
      <w:r>
        <w:rPr>
          <w:rFonts w:ascii="Avenir Next LT Pro Light" w:hAnsi="Avenir Next LT Pro Light"/>
        </w:rPr>
        <w:t>Snelladen voorziet een andere functie dan publiek of regulier laden. Het wordt toegepast door gebruikers die in een korte tijd een behoorlijke range moeten bijladen om hun route te vervolgen. Doordat snelladers een hogere investering vra</w:t>
      </w:r>
      <w:r w:rsidR="007C1F17">
        <w:rPr>
          <w:rFonts w:ascii="Avenir Next LT Pro Light" w:hAnsi="Avenir Next LT Pro Light"/>
        </w:rPr>
        <w:t>gen</w:t>
      </w:r>
      <w:r>
        <w:rPr>
          <w:rFonts w:ascii="Avenir Next LT Pro Light" w:hAnsi="Avenir Next LT Pro Light"/>
        </w:rPr>
        <w:t xml:space="preserve"> en hogere operationele kosten kent dan een reguliere lader is het laden vrijwel altijd duurder dan bij reguliere laders. Het zal daarmee meestal niet als eerste oplossing gekozen worden en regulier laden lijkt meestal de voorkeur te kennen. Snelladen vormt dan ook een aanvullend netwerk op het reguliere laadnetwerk.</w:t>
      </w:r>
    </w:p>
    <w:p w14:paraId="10F3D7E3" w14:textId="77777777" w:rsidR="00D44C33" w:rsidRDefault="00D44C33" w:rsidP="000131EB">
      <w:pPr>
        <w:spacing w:after="0" w:line="276" w:lineRule="auto"/>
        <w:rPr>
          <w:rFonts w:ascii="Avenir Next LT Pro Light" w:hAnsi="Avenir Next LT Pro Light"/>
        </w:rPr>
      </w:pPr>
    </w:p>
    <w:p w14:paraId="75ADEAC4" w14:textId="7C173548" w:rsidR="00873A19" w:rsidRPr="005F591F" w:rsidRDefault="00873A19" w:rsidP="000131EB">
      <w:pPr>
        <w:spacing w:after="0" w:line="276" w:lineRule="auto"/>
        <w:rPr>
          <w:rFonts w:ascii="Avenir Next LT Pro Light" w:hAnsi="Avenir Next LT Pro Light"/>
        </w:rPr>
      </w:pPr>
      <w:r>
        <w:rPr>
          <w:rFonts w:ascii="Avenir Next LT Pro Light" w:hAnsi="Avenir Next LT Pro Light"/>
        </w:rPr>
        <w:t xml:space="preserve">Het benodigde aantal snelladers in een regio om een </w:t>
      </w:r>
      <w:r w:rsidR="00A72130">
        <w:rPr>
          <w:rFonts w:ascii="Avenir Next LT Pro Light" w:hAnsi="Avenir Next LT Pro Light"/>
        </w:rPr>
        <w:t>dekkend</w:t>
      </w:r>
      <w:r>
        <w:rPr>
          <w:rFonts w:ascii="Avenir Next LT Pro Light" w:hAnsi="Avenir Next LT Pro Light"/>
        </w:rPr>
        <w:t xml:space="preserve"> snellaadnetwerk te vormen is lager dan bij reguliere laders. Locaties hebben daarbij vaak een functie die over verschillende gemeentegrenzen heen</w:t>
      </w:r>
      <w:r w:rsidR="00CB5004">
        <w:rPr>
          <w:rFonts w:ascii="Avenir Next LT Pro Light" w:hAnsi="Avenir Next LT Pro Light"/>
        </w:rPr>
        <w:t xml:space="preserve"> </w:t>
      </w:r>
      <w:r>
        <w:rPr>
          <w:rFonts w:ascii="Avenir Next LT Pro Light" w:hAnsi="Avenir Next LT Pro Light"/>
        </w:rPr>
        <w:t xml:space="preserve">gaat. Daarnaast wordt een groot gedeelte van het publiek toegankelijke </w:t>
      </w:r>
      <w:r w:rsidR="007C1F17">
        <w:rPr>
          <w:rFonts w:ascii="Avenir Next LT Pro Light" w:hAnsi="Avenir Next LT Pro Light"/>
        </w:rPr>
        <w:t>snellaad</w:t>
      </w:r>
      <w:r>
        <w:rPr>
          <w:rFonts w:ascii="Avenir Next LT Pro Light" w:hAnsi="Avenir Next LT Pro Light"/>
        </w:rPr>
        <w:t>netwerk geplaatst</w:t>
      </w:r>
      <w:r w:rsidR="00A72130">
        <w:rPr>
          <w:rFonts w:ascii="Avenir Next LT Pro Light" w:hAnsi="Avenir Next LT Pro Light"/>
        </w:rPr>
        <w:t xml:space="preserve"> langs en</w:t>
      </w:r>
      <w:r>
        <w:rPr>
          <w:rFonts w:ascii="Avenir Next LT Pro Light" w:hAnsi="Avenir Next LT Pro Light"/>
        </w:rPr>
        <w:t xml:space="preserve"> rondom het hoofdwegennet. Hierdoor zijn naast locaties in beheer van gemeenten </w:t>
      </w:r>
      <w:r w:rsidR="00CB5004">
        <w:rPr>
          <w:rFonts w:ascii="Avenir Next LT Pro Light" w:hAnsi="Avenir Next LT Pro Light"/>
        </w:rPr>
        <w:t>ook</w:t>
      </w:r>
      <w:r>
        <w:rPr>
          <w:rFonts w:ascii="Avenir Next LT Pro Light" w:hAnsi="Avenir Next LT Pro Light"/>
        </w:rPr>
        <w:t xml:space="preserve"> locaties in beheer van Rijkswaterstaat, provincies </w:t>
      </w:r>
      <w:r w:rsidR="00CB5004">
        <w:rPr>
          <w:rFonts w:ascii="Avenir Next LT Pro Light" w:hAnsi="Avenir Next LT Pro Light"/>
        </w:rPr>
        <w:t>en</w:t>
      </w:r>
      <w:r>
        <w:rPr>
          <w:rFonts w:ascii="Avenir Next LT Pro Light" w:hAnsi="Avenir Next LT Pro Light"/>
        </w:rPr>
        <w:t xml:space="preserve"> private </w:t>
      </w:r>
      <w:r w:rsidR="00CB5004">
        <w:rPr>
          <w:rFonts w:ascii="Avenir Next LT Pro Light" w:hAnsi="Avenir Next LT Pro Light"/>
        </w:rPr>
        <w:t>partijen</w:t>
      </w:r>
      <w:r>
        <w:rPr>
          <w:rFonts w:ascii="Avenir Next LT Pro Light" w:hAnsi="Avenir Next LT Pro Light"/>
        </w:rPr>
        <w:t xml:space="preserve"> aantrekkelijk voor ontwikkeling. De realisatie van het publiek toegankelijke netwerk in de MRA</w:t>
      </w:r>
      <w:r w:rsidR="007C1F17">
        <w:rPr>
          <w:rFonts w:ascii="Avenir Next LT Pro Light" w:hAnsi="Avenir Next LT Pro Light"/>
        </w:rPr>
        <w:t>-E</w:t>
      </w:r>
      <w:r>
        <w:rPr>
          <w:rFonts w:ascii="Avenir Next LT Pro Light" w:hAnsi="Avenir Next LT Pro Light"/>
        </w:rPr>
        <w:t xml:space="preserve"> regio wordt daardoor ontwikkeld door </w:t>
      </w:r>
      <w:r>
        <w:rPr>
          <w:rFonts w:ascii="Avenir Next LT Pro Light" w:hAnsi="Avenir Next LT Pro Light"/>
        </w:rPr>
        <w:lastRenderedPageBreak/>
        <w:t xml:space="preserve">verschillende partijen. Het afstemmen van deze ontwikkelingen is wenselijk om een efficiënte uitrol te </w:t>
      </w:r>
      <w:r w:rsidR="007C1F17">
        <w:rPr>
          <w:rFonts w:ascii="Avenir Next LT Pro Light" w:hAnsi="Avenir Next LT Pro Light"/>
        </w:rPr>
        <w:t>realiseren</w:t>
      </w:r>
      <w:r>
        <w:rPr>
          <w:rFonts w:ascii="Avenir Next LT Pro Light" w:hAnsi="Avenir Next LT Pro Light"/>
        </w:rPr>
        <w:t>. Hierbij moeten de netbeheerders betrokken worden die een belangrijke faciliterende rol spelen om deze laadlocaties met hoge energie (piek)vermogens in te passen in het elektriciteitsnet.</w:t>
      </w:r>
    </w:p>
    <w:p w14:paraId="2C145019" w14:textId="77777777" w:rsidR="00873A19" w:rsidRDefault="00873A19" w:rsidP="000131EB">
      <w:pPr>
        <w:spacing w:after="0" w:line="276" w:lineRule="auto"/>
        <w:rPr>
          <w:rFonts w:ascii="Avenir Next LT Pro Light" w:hAnsi="Avenir Next LT Pro Light"/>
          <w:b/>
          <w:bCs/>
        </w:rPr>
      </w:pPr>
      <w:r>
        <w:rPr>
          <w:rFonts w:ascii="Avenir Next LT Pro Light" w:hAnsi="Avenir Next LT Pro Light"/>
        </w:rPr>
        <w:t>Met de opschaling van de snellaadvraag wordt het van belang dat gemeenten proactief nadenken over het inpassen van deze snellaadinfrastructuur</w:t>
      </w:r>
      <w:r w:rsidR="00A9291B">
        <w:rPr>
          <w:rFonts w:ascii="Avenir Next LT Pro Light" w:hAnsi="Avenir Next LT Pro Light"/>
        </w:rPr>
        <w:t>.</w:t>
      </w:r>
    </w:p>
    <w:p w14:paraId="2251A254" w14:textId="77777777" w:rsidR="00873A19" w:rsidRPr="005F591F" w:rsidRDefault="00873A19" w:rsidP="000131EB">
      <w:pPr>
        <w:spacing w:after="0" w:line="276" w:lineRule="auto"/>
        <w:rPr>
          <w:rFonts w:ascii="Avenir Next LT Pro Light" w:hAnsi="Avenir Next LT Pro Light"/>
          <w:b/>
          <w:bCs/>
        </w:rPr>
      </w:pPr>
    </w:p>
    <w:p w14:paraId="30CD42CA" w14:textId="77777777" w:rsidR="00873A19" w:rsidRPr="00D61306" w:rsidRDefault="00873A19" w:rsidP="000131EB">
      <w:pPr>
        <w:spacing w:after="0" w:line="276" w:lineRule="auto"/>
        <w:rPr>
          <w:rFonts w:ascii="Avenir Next LT Pro Light" w:hAnsi="Avenir Next LT Pro Light"/>
          <w:b/>
          <w:bCs/>
        </w:rPr>
      </w:pPr>
      <w:r w:rsidRPr="00D61306">
        <w:rPr>
          <w:rFonts w:ascii="Avenir Next LT Pro Light" w:hAnsi="Avenir Next LT Pro Light"/>
          <w:b/>
          <w:bCs/>
        </w:rPr>
        <w:t>Hoe stimuleren we snelladen in de regio?</w:t>
      </w:r>
    </w:p>
    <w:p w14:paraId="4D8803CB" w14:textId="53FFD113" w:rsidR="00873A19" w:rsidRDefault="00873A19" w:rsidP="000131EB">
      <w:pPr>
        <w:spacing w:after="0" w:line="276" w:lineRule="auto"/>
        <w:rPr>
          <w:rFonts w:ascii="Avenir Next LT Pro Light" w:hAnsi="Avenir Next LT Pro Light"/>
        </w:rPr>
      </w:pPr>
      <w:r>
        <w:rPr>
          <w:rFonts w:ascii="Avenir Next LT Pro Light" w:hAnsi="Avenir Next LT Pro Light"/>
        </w:rPr>
        <w:t>De aanpak verschilt voor reguliere voertuigen en grote voertuigen gezien de verschillen in de benodigde laadoplossingen, gebruikersgroepen en fase van marktontwikkeling. In onderstaande tekst zijn deze verschillende benaderingen nader toegelicht.</w:t>
      </w:r>
    </w:p>
    <w:p w14:paraId="7606565D" w14:textId="77777777" w:rsidR="00D44C33" w:rsidRDefault="00D44C33" w:rsidP="000131EB">
      <w:pPr>
        <w:spacing w:after="0" w:line="276" w:lineRule="auto"/>
        <w:rPr>
          <w:rFonts w:ascii="Avenir Next LT Pro Light" w:hAnsi="Avenir Next LT Pro Light"/>
        </w:rPr>
      </w:pPr>
    </w:p>
    <w:p w14:paraId="6C2C22E5" w14:textId="77777777" w:rsidR="00D44C33" w:rsidRPr="00EE3A80" w:rsidRDefault="00873A19" w:rsidP="000131EB">
      <w:pPr>
        <w:spacing w:after="0" w:line="276" w:lineRule="auto"/>
        <w:rPr>
          <w:rFonts w:ascii="Avenir Next LT Pro Light" w:hAnsi="Avenir Next LT Pro Light"/>
          <w:i/>
          <w:iCs/>
        </w:rPr>
      </w:pPr>
      <w:r w:rsidRPr="00EE3A80">
        <w:rPr>
          <w:rFonts w:ascii="Avenir Next LT Pro Light" w:hAnsi="Avenir Next LT Pro Light"/>
          <w:i/>
          <w:iCs/>
        </w:rPr>
        <w:t>Stimuleren van laadoplossingen voor reguliere voertuigen.</w:t>
      </w:r>
    </w:p>
    <w:p w14:paraId="7443A7CB" w14:textId="14296488" w:rsidR="00873A19" w:rsidRDefault="00873A19" w:rsidP="000131EB">
      <w:pPr>
        <w:spacing w:after="0" w:line="276" w:lineRule="auto"/>
        <w:rPr>
          <w:rFonts w:ascii="Avenir Next LT Pro Light" w:hAnsi="Avenir Next LT Pro Light"/>
        </w:rPr>
      </w:pPr>
      <w:r>
        <w:rPr>
          <w:rFonts w:ascii="Avenir Next LT Pro Light" w:hAnsi="Avenir Next LT Pro Light"/>
        </w:rPr>
        <w:t>MRA</w:t>
      </w:r>
      <w:r w:rsidR="00605E47">
        <w:rPr>
          <w:rFonts w:ascii="Avenir Next LT Pro Light" w:hAnsi="Avenir Next LT Pro Light"/>
        </w:rPr>
        <w:t>-E</w:t>
      </w:r>
      <w:r>
        <w:rPr>
          <w:rFonts w:ascii="Avenir Next LT Pro Light" w:hAnsi="Avenir Next LT Pro Light"/>
        </w:rPr>
        <w:t xml:space="preserve"> </w:t>
      </w:r>
      <w:r w:rsidR="00605E47">
        <w:rPr>
          <w:rFonts w:ascii="Avenir Next LT Pro Light" w:hAnsi="Avenir Next LT Pro Light"/>
        </w:rPr>
        <w:t>zet zich in om</w:t>
      </w:r>
      <w:r>
        <w:rPr>
          <w:rFonts w:ascii="Avenir Next LT Pro Light" w:hAnsi="Avenir Next LT Pro Light"/>
        </w:rPr>
        <w:t xml:space="preserve"> voldoende snelladers </w:t>
      </w:r>
      <w:r w:rsidR="00605E47">
        <w:rPr>
          <w:rFonts w:ascii="Avenir Next LT Pro Light" w:hAnsi="Avenir Next LT Pro Light"/>
        </w:rPr>
        <w:t xml:space="preserve">te realiseren </w:t>
      </w:r>
      <w:r>
        <w:rPr>
          <w:rFonts w:ascii="Avenir Next LT Pro Light" w:hAnsi="Avenir Next LT Pro Light"/>
        </w:rPr>
        <w:t xml:space="preserve">om </w:t>
      </w:r>
      <w:r w:rsidR="00605E47">
        <w:rPr>
          <w:rFonts w:ascii="Avenir Next LT Pro Light" w:hAnsi="Avenir Next LT Pro Light"/>
        </w:rPr>
        <w:t xml:space="preserve">de groei van elektrische mobiliteit </w:t>
      </w:r>
      <w:r w:rsidR="00AD496E">
        <w:rPr>
          <w:rFonts w:ascii="Avenir Next LT Pro Light" w:hAnsi="Avenir Next LT Pro Light"/>
        </w:rPr>
        <w:t xml:space="preserve">te faciliteren. Omdat </w:t>
      </w:r>
      <w:r>
        <w:rPr>
          <w:rFonts w:ascii="Avenir Next LT Pro Light" w:hAnsi="Avenir Next LT Pro Light"/>
        </w:rPr>
        <w:t xml:space="preserve">er nog veel onzekere factoren zijn </w:t>
      </w:r>
      <w:r w:rsidR="00AD496E">
        <w:rPr>
          <w:rFonts w:ascii="Avenir Next LT Pro Light" w:hAnsi="Avenir Next LT Pro Light"/>
        </w:rPr>
        <w:t>wordt door</w:t>
      </w:r>
      <w:r>
        <w:rPr>
          <w:rFonts w:ascii="Avenir Next LT Pro Light" w:hAnsi="Avenir Next LT Pro Light"/>
        </w:rPr>
        <w:t xml:space="preserve"> MRA</w:t>
      </w:r>
      <w:r w:rsidR="00AD496E">
        <w:rPr>
          <w:rFonts w:ascii="Avenir Next LT Pro Light" w:hAnsi="Avenir Next LT Pro Light"/>
        </w:rPr>
        <w:t>-E</w:t>
      </w:r>
      <w:r>
        <w:rPr>
          <w:rFonts w:ascii="Avenir Next LT Pro Light" w:hAnsi="Avenir Next LT Pro Light"/>
        </w:rPr>
        <w:t xml:space="preserve"> </w:t>
      </w:r>
      <w:r w:rsidR="00AD496E">
        <w:rPr>
          <w:rFonts w:ascii="Avenir Next LT Pro Light" w:hAnsi="Avenir Next LT Pro Light"/>
        </w:rPr>
        <w:t xml:space="preserve">niet </w:t>
      </w:r>
      <w:r w:rsidR="00A9291B">
        <w:rPr>
          <w:rFonts w:ascii="Avenir Next LT Pro Light" w:hAnsi="Avenir Next LT Pro Light"/>
        </w:rPr>
        <w:t>strikt</w:t>
      </w:r>
      <w:r w:rsidR="00AD496E">
        <w:rPr>
          <w:rFonts w:ascii="Avenir Next LT Pro Light" w:hAnsi="Avenir Next LT Pro Light"/>
        </w:rPr>
        <w:t xml:space="preserve"> vastgehouden aan</w:t>
      </w:r>
      <w:r>
        <w:rPr>
          <w:rFonts w:ascii="Avenir Next LT Pro Light" w:hAnsi="Avenir Next LT Pro Light"/>
        </w:rPr>
        <w:t xml:space="preserve"> </w:t>
      </w:r>
      <w:r w:rsidR="00AD496E">
        <w:rPr>
          <w:rFonts w:ascii="Avenir Next LT Pro Light" w:hAnsi="Avenir Next LT Pro Light"/>
        </w:rPr>
        <w:t>de prognoses voor aantallen sn</w:t>
      </w:r>
      <w:r w:rsidR="00A72130">
        <w:rPr>
          <w:rFonts w:ascii="Avenir Next LT Pro Light" w:hAnsi="Avenir Next LT Pro Light"/>
        </w:rPr>
        <w:t>e</w:t>
      </w:r>
      <w:r w:rsidR="00AD496E">
        <w:rPr>
          <w:rFonts w:ascii="Avenir Next LT Pro Light" w:hAnsi="Avenir Next LT Pro Light"/>
        </w:rPr>
        <w:t>lladers</w:t>
      </w:r>
      <w:r w:rsidR="00A72130">
        <w:rPr>
          <w:rFonts w:ascii="Avenir Next LT Pro Light" w:hAnsi="Avenir Next LT Pro Light"/>
        </w:rPr>
        <w:t>, m</w:t>
      </w:r>
      <w:r w:rsidR="00AD496E">
        <w:rPr>
          <w:rFonts w:ascii="Avenir Next LT Pro Light" w:hAnsi="Avenir Next LT Pro Light"/>
        </w:rPr>
        <w:t>aar wordt de prognose gezien als een richtlijn waarbij continue bijstelling op basis van huidige ontwikkelingen belangrijk is.</w:t>
      </w:r>
      <w:r>
        <w:rPr>
          <w:rFonts w:ascii="Avenir Next LT Pro Light" w:hAnsi="Avenir Next LT Pro Light"/>
        </w:rPr>
        <w:t xml:space="preserve"> </w:t>
      </w:r>
      <w:r w:rsidR="00AD496E">
        <w:rPr>
          <w:rFonts w:ascii="Avenir Next LT Pro Light" w:hAnsi="Avenir Next LT Pro Light"/>
        </w:rPr>
        <w:t>MRA-E creëert</w:t>
      </w:r>
      <w:r>
        <w:rPr>
          <w:rFonts w:ascii="Avenir Next LT Pro Light" w:hAnsi="Avenir Next LT Pro Light"/>
        </w:rPr>
        <w:t xml:space="preserve"> een aantal bouwstenen om een toenemende vraag te kunnen faciliteren en te kunnen acteren wanneer deze zich aandient. </w:t>
      </w:r>
      <w:r w:rsidR="00D87C48">
        <w:rPr>
          <w:rFonts w:ascii="Avenir Next LT Pro Light" w:hAnsi="Avenir Next LT Pro Light"/>
        </w:rPr>
        <w:t xml:space="preserve">Focus hierbij </w:t>
      </w:r>
      <w:r w:rsidR="00A72130">
        <w:rPr>
          <w:rFonts w:ascii="Avenir Next LT Pro Light" w:hAnsi="Avenir Next LT Pro Light"/>
        </w:rPr>
        <w:t>ligt</w:t>
      </w:r>
      <w:r>
        <w:rPr>
          <w:rFonts w:ascii="Avenir Next LT Pro Light" w:hAnsi="Avenir Next LT Pro Light"/>
        </w:rPr>
        <w:t xml:space="preserve"> op het proactief in beeld krijgen van mogelijke locaties, het afstemmen van initiatieven en het ontwikkelen van materiaal dat gemeenten moet helpen bij het ontwikkelen van snellaadlocaties op nieuw of bestaand terrein. </w:t>
      </w:r>
      <w:r w:rsidR="0092235E">
        <w:rPr>
          <w:rFonts w:ascii="Avenir Next LT Pro Light" w:hAnsi="Avenir Next LT Pro Light"/>
        </w:rPr>
        <w:t>Ook hier kan de ontwikkeling van laadkaarten een belangrijke rol spelen.</w:t>
      </w:r>
    </w:p>
    <w:p w14:paraId="628919A5" w14:textId="77777777" w:rsidR="00D44C33" w:rsidRDefault="00D44C33" w:rsidP="000131EB">
      <w:pPr>
        <w:spacing w:after="0" w:line="276" w:lineRule="auto"/>
        <w:rPr>
          <w:rFonts w:ascii="Avenir Next LT Pro Light" w:hAnsi="Avenir Next LT Pro Light"/>
        </w:rPr>
      </w:pPr>
    </w:p>
    <w:p w14:paraId="40A9B55E" w14:textId="5E63F744" w:rsidR="00873A19" w:rsidRDefault="00D87C48" w:rsidP="000131EB">
      <w:pPr>
        <w:spacing w:after="0" w:line="276" w:lineRule="auto"/>
        <w:rPr>
          <w:rFonts w:ascii="Avenir Next LT Pro Light" w:hAnsi="Avenir Next LT Pro Light"/>
        </w:rPr>
      </w:pPr>
      <w:r>
        <w:rPr>
          <w:rFonts w:ascii="Avenir Next LT Pro Light" w:hAnsi="Avenir Next LT Pro Light"/>
        </w:rPr>
        <w:t>Deze activiteiten</w:t>
      </w:r>
      <w:r w:rsidR="00873A19" w:rsidRPr="00EE3A80">
        <w:rPr>
          <w:rFonts w:ascii="Avenir Next LT Pro Light" w:hAnsi="Avenir Next LT Pro Light"/>
        </w:rPr>
        <w:t xml:space="preserve"> zijn niet alleen belangrijk om de opgave voor gemeenten en provincie in kaart te brengen en </w:t>
      </w:r>
      <w:r w:rsidR="00873A19">
        <w:rPr>
          <w:rFonts w:ascii="Avenir Next LT Pro Light" w:hAnsi="Avenir Next LT Pro Light"/>
        </w:rPr>
        <w:t>een</w:t>
      </w:r>
      <w:r w:rsidR="00873A19" w:rsidRPr="00EE3A80">
        <w:rPr>
          <w:rFonts w:ascii="Avenir Next LT Pro Light" w:hAnsi="Avenir Next LT Pro Light"/>
        </w:rPr>
        <w:t xml:space="preserve"> zelfstandige uitvoering te ondersteunen, het zijn ook basisblokken voor een eventuele regionale uitvoering. Mocht blijken dat er redenen zijn om deze infrastructuur regionaal te ontwikkelen (bijvoorbeeld via netwerk planning, locatie veilingen, centrale aanbestedingen) dan v</w:t>
      </w:r>
      <w:r w:rsidR="008272EF">
        <w:rPr>
          <w:rFonts w:ascii="Avenir Next LT Pro Light" w:hAnsi="Avenir Next LT Pro Light"/>
        </w:rPr>
        <w:t>or</w:t>
      </w:r>
      <w:r w:rsidR="00873A19" w:rsidRPr="00EE3A80">
        <w:rPr>
          <w:rFonts w:ascii="Avenir Next LT Pro Light" w:hAnsi="Avenir Next LT Pro Light"/>
        </w:rPr>
        <w:t>men deze projecten belangrijke onderdelen om</w:t>
      </w:r>
      <w:r w:rsidR="00873A19">
        <w:rPr>
          <w:rFonts w:ascii="Avenir Next LT Pro Light" w:hAnsi="Avenir Next LT Pro Light"/>
        </w:rPr>
        <w:t xml:space="preserve"> </w:t>
      </w:r>
      <w:r w:rsidR="00873A19" w:rsidRPr="00EE3A80">
        <w:rPr>
          <w:rFonts w:ascii="Avenir Next LT Pro Light" w:hAnsi="Avenir Next LT Pro Light"/>
        </w:rPr>
        <w:t>d</w:t>
      </w:r>
      <w:r w:rsidR="00873A19">
        <w:rPr>
          <w:rFonts w:ascii="Avenir Next LT Pro Light" w:hAnsi="Avenir Next LT Pro Light"/>
        </w:rPr>
        <w:t>i</w:t>
      </w:r>
      <w:r w:rsidR="00873A19" w:rsidRPr="00EE3A80">
        <w:rPr>
          <w:rFonts w:ascii="Avenir Next LT Pro Light" w:hAnsi="Avenir Next LT Pro Light"/>
        </w:rPr>
        <w:t xml:space="preserve">t te kunnen doen. </w:t>
      </w:r>
      <w:r w:rsidR="00873A19">
        <w:rPr>
          <w:rFonts w:ascii="Avenir Next LT Pro Light" w:hAnsi="Avenir Next LT Pro Light"/>
        </w:rPr>
        <w:t xml:space="preserve">Het brengt immers mogelijke locaties in beeld, bouwt ervaring op met het ontwikkelen van locaties en zorgt voor de coördinatie met belangrijke stakeholders zoals de netbeheerder. </w:t>
      </w:r>
      <w:r w:rsidR="00873A19" w:rsidRPr="00EE3A80">
        <w:rPr>
          <w:rFonts w:ascii="Avenir Next LT Pro Light" w:hAnsi="Avenir Next LT Pro Light"/>
        </w:rPr>
        <w:t>MRA</w:t>
      </w:r>
      <w:r w:rsidR="008272EF">
        <w:rPr>
          <w:rFonts w:ascii="Avenir Next LT Pro Light" w:hAnsi="Avenir Next LT Pro Light"/>
        </w:rPr>
        <w:t>-E</w:t>
      </w:r>
      <w:r w:rsidR="00873A19" w:rsidRPr="00EE3A80">
        <w:rPr>
          <w:rFonts w:ascii="Avenir Next LT Pro Light" w:hAnsi="Avenir Next LT Pro Light"/>
        </w:rPr>
        <w:t xml:space="preserve"> vindt het op dit moment nog te vroeg </w:t>
      </w:r>
      <w:r w:rsidR="00A72130">
        <w:rPr>
          <w:rFonts w:ascii="Avenir Next LT Pro Light" w:hAnsi="Avenir Next LT Pro Light"/>
        </w:rPr>
        <w:t xml:space="preserve">om </w:t>
      </w:r>
      <w:r w:rsidR="00873A19" w:rsidRPr="00EE3A80">
        <w:rPr>
          <w:rFonts w:ascii="Avenir Next LT Pro Light" w:hAnsi="Avenir Next LT Pro Light"/>
        </w:rPr>
        <w:t xml:space="preserve">een duidelijke uitspraak te doen of dit wenselijk is (en op welke manier). Zij zal dit in de </w:t>
      </w:r>
      <w:r w:rsidR="00A73CF0">
        <w:rPr>
          <w:rFonts w:ascii="Avenir Next LT Pro Light" w:hAnsi="Avenir Next LT Pro Light"/>
        </w:rPr>
        <w:t>eerste</w:t>
      </w:r>
      <w:r w:rsidR="00A73CF0" w:rsidRPr="00EE3A80">
        <w:rPr>
          <w:rFonts w:ascii="Avenir Next LT Pro Light" w:hAnsi="Avenir Next LT Pro Light"/>
        </w:rPr>
        <w:t xml:space="preserve"> </w:t>
      </w:r>
      <w:r w:rsidR="00873A19" w:rsidRPr="00EE3A80">
        <w:rPr>
          <w:rFonts w:ascii="Avenir Next LT Pro Light" w:hAnsi="Avenir Next LT Pro Light"/>
        </w:rPr>
        <w:t xml:space="preserve">helft van </w:t>
      </w:r>
      <w:r w:rsidR="00A73CF0" w:rsidRPr="00EE3A80">
        <w:rPr>
          <w:rFonts w:ascii="Avenir Next LT Pro Light" w:hAnsi="Avenir Next LT Pro Light"/>
        </w:rPr>
        <w:t>202</w:t>
      </w:r>
      <w:r w:rsidR="00A73CF0">
        <w:rPr>
          <w:rFonts w:ascii="Avenir Next LT Pro Light" w:hAnsi="Avenir Next LT Pro Light"/>
        </w:rPr>
        <w:t>2</w:t>
      </w:r>
      <w:r w:rsidR="00A73CF0" w:rsidRPr="00EE3A80">
        <w:rPr>
          <w:rFonts w:ascii="Avenir Next LT Pro Light" w:hAnsi="Avenir Next LT Pro Light"/>
        </w:rPr>
        <w:t xml:space="preserve"> </w:t>
      </w:r>
      <w:r w:rsidR="00873A19" w:rsidRPr="00EE3A80">
        <w:rPr>
          <w:rFonts w:ascii="Avenir Next LT Pro Light" w:hAnsi="Avenir Next LT Pro Light"/>
        </w:rPr>
        <w:t>opnieuw beoordelen op basis van de opgedane kennis en ervaring.</w:t>
      </w:r>
    </w:p>
    <w:p w14:paraId="499FBC9A" w14:textId="77777777" w:rsidR="00D44C33" w:rsidRPr="00D61306" w:rsidRDefault="00D44C33" w:rsidP="000131EB">
      <w:pPr>
        <w:spacing w:after="0" w:line="276" w:lineRule="auto"/>
        <w:rPr>
          <w:rFonts w:ascii="Avenir Next LT Pro Light" w:hAnsi="Avenir Next LT Pro Light"/>
        </w:rPr>
      </w:pPr>
    </w:p>
    <w:p w14:paraId="1013378A" w14:textId="7D04A41F" w:rsidR="00873A19" w:rsidRPr="00D61306" w:rsidRDefault="00873A19" w:rsidP="000131EB">
      <w:pPr>
        <w:spacing w:after="0" w:line="276" w:lineRule="auto"/>
        <w:rPr>
          <w:rFonts w:ascii="Avenir Next LT Pro Light" w:hAnsi="Avenir Next LT Pro Light"/>
        </w:rPr>
      </w:pPr>
      <w:r w:rsidRPr="00D61306">
        <w:rPr>
          <w:rFonts w:ascii="Avenir Next LT Pro Light" w:hAnsi="Avenir Next LT Pro Light"/>
        </w:rPr>
        <w:t>MRA</w:t>
      </w:r>
      <w:r w:rsidR="008272EF">
        <w:rPr>
          <w:rFonts w:ascii="Avenir Next LT Pro Light" w:hAnsi="Avenir Next LT Pro Light"/>
        </w:rPr>
        <w:t>-E</w:t>
      </w:r>
      <w:r w:rsidRPr="00D61306">
        <w:rPr>
          <w:rFonts w:ascii="Avenir Next LT Pro Light" w:hAnsi="Avenir Next LT Pro Light"/>
        </w:rPr>
        <w:t xml:space="preserve"> gaat er voorlopig vanuit dat een goed gepland publiek snellaadnetwerk voor personenvoertuigen ook zal functioneren voor andere </w:t>
      </w:r>
      <w:r w:rsidR="00A72130">
        <w:rPr>
          <w:rFonts w:ascii="Avenir Next LT Pro Light" w:hAnsi="Avenir Next LT Pro Light"/>
        </w:rPr>
        <w:t>gebruikers</w:t>
      </w:r>
      <w:r w:rsidRPr="00D61306">
        <w:rPr>
          <w:rFonts w:ascii="Avenir Next LT Pro Light" w:hAnsi="Avenir Next LT Pro Light"/>
        </w:rPr>
        <w:t>groepen die in het publieke domein willen snelladen. Dit is geen zekerheid, zeker niet bij lichte logistieke voertuigen. MRA</w:t>
      </w:r>
      <w:r w:rsidR="008272EF">
        <w:rPr>
          <w:rFonts w:ascii="Avenir Next LT Pro Light" w:hAnsi="Avenir Next LT Pro Light"/>
        </w:rPr>
        <w:t>-E</w:t>
      </w:r>
      <w:r w:rsidRPr="00D61306">
        <w:rPr>
          <w:rFonts w:ascii="Avenir Next LT Pro Light" w:hAnsi="Avenir Next LT Pro Light"/>
        </w:rPr>
        <w:t xml:space="preserve"> zal deze ontwikkelingen volgen en inspelen op specifieke vragen of relevante ontwikkelingen als die zich aandoen.</w:t>
      </w:r>
    </w:p>
    <w:p w14:paraId="4C466992" w14:textId="77777777" w:rsidR="00873A19" w:rsidRDefault="00873A19" w:rsidP="000131EB">
      <w:pPr>
        <w:spacing w:after="0" w:line="276" w:lineRule="auto"/>
        <w:rPr>
          <w:rFonts w:ascii="Avenir Next LT Pro Light" w:hAnsi="Avenir Next LT Pro Light"/>
        </w:rPr>
      </w:pPr>
    </w:p>
    <w:p w14:paraId="444CE7F8" w14:textId="77777777" w:rsidR="00873A19" w:rsidRPr="00EE3A80" w:rsidRDefault="00873A19" w:rsidP="000131EB">
      <w:pPr>
        <w:spacing w:after="0" w:line="276" w:lineRule="auto"/>
        <w:rPr>
          <w:rFonts w:ascii="Avenir Next LT Pro Light" w:hAnsi="Avenir Next LT Pro Light"/>
          <w:i/>
          <w:iCs/>
        </w:rPr>
      </w:pPr>
      <w:r w:rsidRPr="00EE3A80">
        <w:rPr>
          <w:rFonts w:ascii="Avenir Next LT Pro Light" w:hAnsi="Avenir Next LT Pro Light"/>
          <w:i/>
          <w:iCs/>
        </w:rPr>
        <w:t xml:space="preserve">Stimuleren van laadoplossingen voor </w:t>
      </w:r>
      <w:r>
        <w:rPr>
          <w:rFonts w:ascii="Avenir Next LT Pro Light" w:hAnsi="Avenir Next LT Pro Light"/>
          <w:i/>
          <w:iCs/>
        </w:rPr>
        <w:t xml:space="preserve">grote </w:t>
      </w:r>
      <w:r w:rsidRPr="00EE3A80">
        <w:rPr>
          <w:rFonts w:ascii="Avenir Next LT Pro Light" w:hAnsi="Avenir Next LT Pro Light"/>
          <w:i/>
          <w:iCs/>
        </w:rPr>
        <w:t xml:space="preserve"> voertuigen.</w:t>
      </w:r>
    </w:p>
    <w:p w14:paraId="556BFE71" w14:textId="77777777" w:rsidR="00873A19" w:rsidRPr="0055134F" w:rsidRDefault="00873A19" w:rsidP="000131EB">
      <w:pPr>
        <w:spacing w:after="0" w:line="276" w:lineRule="auto"/>
        <w:rPr>
          <w:rFonts w:ascii="Avenir Next LT Pro Light" w:hAnsi="Avenir Next LT Pro Light"/>
        </w:rPr>
      </w:pPr>
      <w:r>
        <w:rPr>
          <w:rFonts w:ascii="Avenir Next LT Pro Light" w:hAnsi="Avenir Next LT Pro Light"/>
        </w:rPr>
        <w:t xml:space="preserve">Bij grote voertuigen is er nog grote onzekerheid over de vraagontwikkeling en de locaties waar er geladen gaat worden. Wel is het duidelijk dat de grote energievraag die deze voertuigen kennen mogelijk tot zeer lange ontwikkeltijden gaat leiden per locatie. </w:t>
      </w:r>
      <w:r w:rsidRPr="0055134F">
        <w:rPr>
          <w:rFonts w:ascii="Avenir Next LT Pro Light" w:hAnsi="Avenir Next LT Pro Light"/>
        </w:rPr>
        <w:t>Het is om deze reden dat MRA</w:t>
      </w:r>
      <w:r w:rsidR="008272EF">
        <w:rPr>
          <w:rFonts w:ascii="Avenir Next LT Pro Light" w:hAnsi="Avenir Next LT Pro Light"/>
        </w:rPr>
        <w:t>-E</w:t>
      </w:r>
      <w:r w:rsidRPr="0055134F">
        <w:rPr>
          <w:rFonts w:ascii="Avenir Next LT Pro Light" w:hAnsi="Avenir Next LT Pro Light"/>
        </w:rPr>
        <w:t xml:space="preserve"> zich inzet om snel meer duidelijkheid te creëren door het opbouwen van voorbeelden gestoeld op </w:t>
      </w:r>
      <w:r w:rsidR="008272EF">
        <w:rPr>
          <w:rFonts w:ascii="Avenir Next LT Pro Light" w:hAnsi="Avenir Next LT Pro Light"/>
        </w:rPr>
        <w:t xml:space="preserve">de </w:t>
      </w:r>
      <w:r w:rsidRPr="0055134F">
        <w:rPr>
          <w:rFonts w:ascii="Avenir Next LT Pro Light" w:hAnsi="Avenir Next LT Pro Light"/>
        </w:rPr>
        <w:t>praktijk. Daarnaast zet MRA</w:t>
      </w:r>
      <w:r w:rsidR="008272EF">
        <w:rPr>
          <w:rFonts w:ascii="Avenir Next LT Pro Light" w:hAnsi="Avenir Next LT Pro Light"/>
        </w:rPr>
        <w:t>-E</w:t>
      </w:r>
      <w:r w:rsidRPr="0055134F">
        <w:rPr>
          <w:rFonts w:ascii="Avenir Next LT Pro Light" w:hAnsi="Avenir Next LT Pro Light"/>
        </w:rPr>
        <w:t xml:space="preserve"> zich in om mogelijke locaties vroegtijdig in beeld te brengen </w:t>
      </w:r>
      <w:r w:rsidR="00D87C48">
        <w:rPr>
          <w:rFonts w:ascii="Avenir Next LT Pro Light" w:hAnsi="Avenir Next LT Pro Light"/>
        </w:rPr>
        <w:t xml:space="preserve">(bijv. met plankaarten) </w:t>
      </w:r>
      <w:r w:rsidRPr="0055134F">
        <w:rPr>
          <w:rFonts w:ascii="Avenir Next LT Pro Light" w:hAnsi="Avenir Next LT Pro Light"/>
        </w:rPr>
        <w:t>zodat er geen tijd verloren gaat op het moment dat duidelijk wordt dat er nood ontstaat</w:t>
      </w:r>
      <w:r>
        <w:rPr>
          <w:rFonts w:ascii="Avenir Next LT Pro Light" w:hAnsi="Avenir Next LT Pro Light"/>
        </w:rPr>
        <w:t xml:space="preserve"> aan snellaadlocaties voor zware voertuigen</w:t>
      </w:r>
      <w:r w:rsidRPr="0055134F">
        <w:rPr>
          <w:rFonts w:ascii="Avenir Next LT Pro Light" w:hAnsi="Avenir Next LT Pro Light"/>
        </w:rPr>
        <w:t xml:space="preserve">. </w:t>
      </w:r>
    </w:p>
    <w:p w14:paraId="2B0D1DBA" w14:textId="77777777" w:rsidR="00D44C33" w:rsidRDefault="00D44C33" w:rsidP="000131EB">
      <w:pPr>
        <w:spacing w:after="0" w:line="276" w:lineRule="auto"/>
        <w:rPr>
          <w:rFonts w:ascii="Avenir Next LT Pro Light" w:hAnsi="Avenir Next LT Pro Light"/>
        </w:rPr>
      </w:pPr>
    </w:p>
    <w:p w14:paraId="313A38E5" w14:textId="3CFCC408" w:rsidR="00BB1583" w:rsidRDefault="008272EF" w:rsidP="000131EB">
      <w:pPr>
        <w:spacing w:after="0" w:line="276" w:lineRule="auto"/>
        <w:rPr>
          <w:rFonts w:ascii="Avenir Next LT Pro Light" w:hAnsi="Avenir Next LT Pro Light"/>
        </w:rPr>
      </w:pPr>
      <w:r>
        <w:rPr>
          <w:rFonts w:ascii="Avenir Next LT Pro Light" w:hAnsi="Avenir Next LT Pro Light"/>
        </w:rPr>
        <w:lastRenderedPageBreak/>
        <w:t>MRA-E verwacht dat</w:t>
      </w:r>
      <w:r w:rsidR="00873A19">
        <w:rPr>
          <w:rFonts w:ascii="Avenir Next LT Pro Light" w:hAnsi="Avenir Next LT Pro Light"/>
        </w:rPr>
        <w:t xml:space="preserve"> op dit moment de meeste snellaadoplossingen voor logistieke voertuigen op private grond</w:t>
      </w:r>
      <w:r>
        <w:rPr>
          <w:rFonts w:ascii="Avenir Next LT Pro Light" w:hAnsi="Avenir Next LT Pro Light"/>
        </w:rPr>
        <w:t>en worden</w:t>
      </w:r>
      <w:r w:rsidR="00873A19">
        <w:rPr>
          <w:rFonts w:ascii="Avenir Next LT Pro Light" w:hAnsi="Avenir Next LT Pro Light"/>
        </w:rPr>
        <w:t xml:space="preserve"> aangelegd. De vraag </w:t>
      </w:r>
      <w:r w:rsidR="00A73CF0">
        <w:rPr>
          <w:rFonts w:ascii="Avenir Next LT Pro Light" w:hAnsi="Avenir Next LT Pro Light"/>
        </w:rPr>
        <w:t xml:space="preserve">naar </w:t>
      </w:r>
      <w:r w:rsidR="00873A19">
        <w:rPr>
          <w:rFonts w:ascii="Avenir Next LT Pro Light" w:hAnsi="Avenir Next LT Pro Light"/>
        </w:rPr>
        <w:t xml:space="preserve">publieke snellaadlocaties </w:t>
      </w:r>
      <w:r w:rsidR="00A73CF0">
        <w:rPr>
          <w:rFonts w:ascii="Avenir Next LT Pro Light" w:hAnsi="Avenir Next LT Pro Light"/>
        </w:rPr>
        <w:t xml:space="preserve">voor grote voertuigen </w:t>
      </w:r>
      <w:r w:rsidR="00873A19">
        <w:rPr>
          <w:rFonts w:ascii="Avenir Next LT Pro Light" w:hAnsi="Avenir Next LT Pro Light"/>
        </w:rPr>
        <w:t>zal in de aa</w:t>
      </w:r>
      <w:r>
        <w:rPr>
          <w:rFonts w:ascii="Avenir Next LT Pro Light" w:hAnsi="Avenir Next LT Pro Light"/>
        </w:rPr>
        <w:t>nkomende</w:t>
      </w:r>
      <w:r w:rsidR="00873A19">
        <w:rPr>
          <w:rFonts w:ascii="Avenir Next LT Pro Light" w:hAnsi="Avenir Next LT Pro Light"/>
        </w:rPr>
        <w:t xml:space="preserve"> jaren nihil zijn. Echter</w:t>
      </w:r>
      <w:r w:rsidR="0011364E">
        <w:rPr>
          <w:rFonts w:ascii="Avenir Next LT Pro Light" w:hAnsi="Avenir Next LT Pro Light"/>
        </w:rPr>
        <w:t>, het is</w:t>
      </w:r>
      <w:r w:rsidR="00873A19">
        <w:rPr>
          <w:rFonts w:ascii="Avenir Next LT Pro Light" w:hAnsi="Avenir Next LT Pro Light"/>
        </w:rPr>
        <w:t xml:space="preserve"> wel waarschijnlijk dat een (onrendabel) publiek basisnet nodig zal zijn om deze markt zekerheid te bieden om elektrisch te gaan rijden. Daarnaast zijn er signalen dat de benodigde energie</w:t>
      </w:r>
      <w:r>
        <w:rPr>
          <w:rFonts w:ascii="Avenir Next LT Pro Light" w:hAnsi="Avenir Next LT Pro Light"/>
        </w:rPr>
        <w:t>-</w:t>
      </w:r>
      <w:r w:rsidR="00873A19">
        <w:rPr>
          <w:rFonts w:ascii="Avenir Next LT Pro Light" w:hAnsi="Avenir Next LT Pro Light"/>
        </w:rPr>
        <w:t>infrastructuur om deze voertuigen te kunnen laden (zeker bij logistieke clusters zoals distributiecentra) een zeer lange ontwikkeltijd kent. Om deze reden wil MRA</w:t>
      </w:r>
      <w:r>
        <w:rPr>
          <w:rFonts w:ascii="Avenir Next LT Pro Light" w:hAnsi="Avenir Next LT Pro Light"/>
        </w:rPr>
        <w:t>-E</w:t>
      </w:r>
      <w:r w:rsidR="00873A19">
        <w:rPr>
          <w:rFonts w:ascii="Avenir Next LT Pro Light" w:hAnsi="Avenir Next LT Pro Light"/>
        </w:rPr>
        <w:t xml:space="preserve"> zowel mogelijke publieke locaties in beeld brengen </w:t>
      </w:r>
      <w:r w:rsidR="00A72130">
        <w:rPr>
          <w:rFonts w:ascii="Avenir Next LT Pro Light" w:hAnsi="Avenir Next LT Pro Light"/>
        </w:rPr>
        <w:t xml:space="preserve">als </w:t>
      </w:r>
      <w:r w:rsidR="00873A19">
        <w:rPr>
          <w:rFonts w:ascii="Avenir Next LT Pro Light" w:hAnsi="Avenir Next LT Pro Light"/>
        </w:rPr>
        <w:t xml:space="preserve">meer kennis opdoen over de laadvraag die lokaal </w:t>
      </w:r>
      <w:r w:rsidR="00A72130">
        <w:rPr>
          <w:rFonts w:ascii="Avenir Next LT Pro Light" w:hAnsi="Avenir Next LT Pro Light"/>
        </w:rPr>
        <w:t xml:space="preserve">op </w:t>
      </w:r>
      <w:r w:rsidR="00873A19">
        <w:rPr>
          <w:rFonts w:ascii="Avenir Next LT Pro Light" w:hAnsi="Avenir Next LT Pro Light"/>
        </w:rPr>
        <w:t>privaat</w:t>
      </w:r>
      <w:r w:rsidR="00A72130">
        <w:rPr>
          <w:rFonts w:ascii="Avenir Next LT Pro Light" w:hAnsi="Avenir Next LT Pro Light"/>
        </w:rPr>
        <w:t xml:space="preserve"> terrein</w:t>
      </w:r>
      <w:r w:rsidR="00873A19">
        <w:rPr>
          <w:rFonts w:ascii="Avenir Next LT Pro Light" w:hAnsi="Avenir Next LT Pro Light"/>
        </w:rPr>
        <w:t xml:space="preserve"> ontstaat bij grootschalige elektrificatie. Op deze manier ontwikkel</w:t>
      </w:r>
      <w:r>
        <w:rPr>
          <w:rFonts w:ascii="Avenir Next LT Pro Light" w:hAnsi="Avenir Next LT Pro Light"/>
        </w:rPr>
        <w:t>t</w:t>
      </w:r>
      <w:r w:rsidR="00873A19">
        <w:rPr>
          <w:rFonts w:ascii="Avenir Next LT Pro Light" w:hAnsi="Avenir Next LT Pro Light"/>
        </w:rPr>
        <w:t xml:space="preserve"> MRA</w:t>
      </w:r>
      <w:r>
        <w:rPr>
          <w:rFonts w:ascii="Avenir Next LT Pro Light" w:hAnsi="Avenir Next LT Pro Light"/>
        </w:rPr>
        <w:t>-E</w:t>
      </w:r>
      <w:r w:rsidR="00873A19">
        <w:rPr>
          <w:rFonts w:ascii="Avenir Next LT Pro Light" w:hAnsi="Avenir Next LT Pro Light"/>
        </w:rPr>
        <w:t xml:space="preserve"> cruciale bouwblokken om samen met andere belangrijke stakeholders vroegtijdig te werken aan een uitrol van deze laadinfrastructuur. </w:t>
      </w:r>
    </w:p>
    <w:p w14:paraId="21A5783E" w14:textId="4295E58B" w:rsidR="00EE5ABC" w:rsidRDefault="00EE5ABC" w:rsidP="000131EB">
      <w:pPr>
        <w:spacing w:after="0" w:line="276" w:lineRule="auto"/>
        <w:rPr>
          <w:rFonts w:ascii="Avenir Next LT Pro Light" w:hAnsi="Avenir Next LT Pro Light"/>
        </w:rPr>
      </w:pPr>
    </w:p>
    <w:p w14:paraId="0B93DFCA" w14:textId="45BABBE5" w:rsidR="00B67322" w:rsidRDefault="004D6015" w:rsidP="000131EB">
      <w:pPr>
        <w:pStyle w:val="Kop2"/>
        <w:spacing w:line="276" w:lineRule="auto"/>
      </w:pPr>
      <w:bookmarkStart w:id="16" w:name="_Toc71287702"/>
      <w:r>
        <w:t xml:space="preserve">Samenwerken met </w:t>
      </w:r>
      <w:r w:rsidR="00B67322">
        <w:t>de netbeheerder</w:t>
      </w:r>
      <w:r>
        <w:t>s</w:t>
      </w:r>
      <w:bookmarkEnd w:id="16"/>
    </w:p>
    <w:p w14:paraId="0771103A" w14:textId="144705F2" w:rsidR="004D6015" w:rsidRDefault="004D6015" w:rsidP="000131EB">
      <w:pPr>
        <w:spacing w:line="276" w:lineRule="auto"/>
        <w:rPr>
          <w:rFonts w:ascii="Avenir Next LT Pro Light" w:hAnsi="Avenir Next LT Pro Light"/>
        </w:rPr>
      </w:pPr>
      <w:r w:rsidRPr="004D6015">
        <w:rPr>
          <w:rFonts w:ascii="Avenir Next LT Pro Light" w:hAnsi="Avenir Next LT Pro Light"/>
        </w:rPr>
        <w:t xml:space="preserve">De energietransitie heeft grote impact op het elektriciteitsnetwerk. Als </w:t>
      </w:r>
      <w:r w:rsidR="003E6E44">
        <w:rPr>
          <w:rFonts w:ascii="Avenir Next LT Pro Light" w:hAnsi="Avenir Next LT Pro Light"/>
        </w:rPr>
        <w:t xml:space="preserve">hierdoor </w:t>
      </w:r>
      <w:r w:rsidRPr="004D6015">
        <w:rPr>
          <w:rFonts w:ascii="Avenir Next LT Pro Light" w:hAnsi="Avenir Next LT Pro Light"/>
        </w:rPr>
        <w:t xml:space="preserve">netproblemen ontstaan, kan dat tot hoge maatschappelijke kosten leiden, de uitrol van laadinfrastructuur sterk vertragen en een risico betekenen voor het halen van ambities </w:t>
      </w:r>
      <w:r w:rsidR="003E6E44">
        <w:rPr>
          <w:rFonts w:ascii="Avenir Next LT Pro Light" w:hAnsi="Avenir Next LT Pro Light"/>
        </w:rPr>
        <w:t>voor</w:t>
      </w:r>
      <w:r w:rsidRPr="004D6015">
        <w:rPr>
          <w:rFonts w:ascii="Avenir Next LT Pro Light" w:hAnsi="Avenir Next LT Pro Light"/>
        </w:rPr>
        <w:t xml:space="preserve"> laadinfrastructuur en voor de brede energietransitie. De netbeheerders staan voor de uitdaging ervoor te zorgen dat het net deze verandering aankan. Het is daarom </w:t>
      </w:r>
      <w:r w:rsidR="003E6E44">
        <w:rPr>
          <w:rFonts w:ascii="Avenir Next LT Pro Light" w:hAnsi="Avenir Next LT Pro Light"/>
        </w:rPr>
        <w:t>de</w:t>
      </w:r>
      <w:r w:rsidRPr="004D6015">
        <w:rPr>
          <w:rFonts w:ascii="Avenir Next LT Pro Light" w:hAnsi="Avenir Next LT Pro Light"/>
        </w:rPr>
        <w:t xml:space="preserve"> verantwoordelijkheid </w:t>
      </w:r>
      <w:r w:rsidR="003E6E44">
        <w:rPr>
          <w:rFonts w:ascii="Avenir Next LT Pro Light" w:hAnsi="Avenir Next LT Pro Light"/>
        </w:rPr>
        <w:t xml:space="preserve">van de NAL-regio’s en gemeenten </w:t>
      </w:r>
      <w:r w:rsidRPr="004D6015">
        <w:rPr>
          <w:rFonts w:ascii="Avenir Next LT Pro Light" w:hAnsi="Avenir Next LT Pro Light"/>
        </w:rPr>
        <w:t>om tijdig</w:t>
      </w:r>
      <w:r w:rsidR="003E6E44">
        <w:rPr>
          <w:rFonts w:ascii="Avenir Next LT Pro Light" w:hAnsi="Avenir Next LT Pro Light"/>
        </w:rPr>
        <w:t xml:space="preserve"> </w:t>
      </w:r>
      <w:r w:rsidRPr="004D6015">
        <w:rPr>
          <w:rFonts w:ascii="Avenir Next LT Pro Light" w:hAnsi="Avenir Next LT Pro Light"/>
        </w:rPr>
        <w:t xml:space="preserve">aan te geven welke laadinfrastructuur gewenst is voor de komende jaren. De netbeheerder kan vervolgens inzicht geven </w:t>
      </w:r>
      <w:r w:rsidR="003E6E44">
        <w:rPr>
          <w:rFonts w:ascii="Avenir Next LT Pro Light" w:hAnsi="Avenir Next LT Pro Light"/>
        </w:rPr>
        <w:t>in</w:t>
      </w:r>
      <w:r w:rsidRPr="004D6015">
        <w:rPr>
          <w:rFonts w:ascii="Avenir Next LT Pro Light" w:hAnsi="Avenir Next LT Pro Light"/>
        </w:rPr>
        <w:t xml:space="preserve"> de haalbaarheid </w:t>
      </w:r>
      <w:r w:rsidR="003E6E44">
        <w:rPr>
          <w:rFonts w:ascii="Avenir Next LT Pro Light" w:hAnsi="Avenir Next LT Pro Light"/>
        </w:rPr>
        <w:t xml:space="preserve">van de plannen </w:t>
      </w:r>
      <w:r w:rsidRPr="004D6015">
        <w:rPr>
          <w:rFonts w:ascii="Avenir Next LT Pro Light" w:hAnsi="Avenir Next LT Pro Light"/>
        </w:rPr>
        <w:t xml:space="preserve">en eventueel maatregelen treffen om te zorgen dat er voldoende ruimte op het net is. </w:t>
      </w:r>
    </w:p>
    <w:p w14:paraId="2886D7F5" w14:textId="774E9E5C" w:rsidR="003E6E44" w:rsidRDefault="003E6E44" w:rsidP="000131EB">
      <w:pPr>
        <w:spacing w:line="276" w:lineRule="auto"/>
        <w:rPr>
          <w:rFonts w:ascii="Avenir Next LT Pro Light" w:hAnsi="Avenir Next LT Pro Light"/>
        </w:rPr>
      </w:pPr>
      <w:r>
        <w:rPr>
          <w:rFonts w:ascii="Avenir Next LT Pro Light" w:hAnsi="Avenir Next LT Pro Light"/>
        </w:rPr>
        <w:t>MRA-E houdt onder andere contact met de netbeheerder</w:t>
      </w:r>
      <w:r w:rsidR="00594BFA">
        <w:rPr>
          <w:rFonts w:ascii="Avenir Next LT Pro Light" w:hAnsi="Avenir Next LT Pro Light"/>
        </w:rPr>
        <w:t>s in de regio</w:t>
      </w:r>
      <w:r>
        <w:rPr>
          <w:rFonts w:ascii="Avenir Next LT Pro Light" w:hAnsi="Avenir Next LT Pro Light"/>
        </w:rPr>
        <w:t xml:space="preserve"> via twee reguliere overleggen</w:t>
      </w:r>
      <w:r w:rsidR="00594BFA">
        <w:rPr>
          <w:rFonts w:ascii="Avenir Next LT Pro Light" w:hAnsi="Avenir Next LT Pro Light"/>
        </w:rPr>
        <w:t>:</w:t>
      </w:r>
    </w:p>
    <w:p w14:paraId="54C0AD5B" w14:textId="5D418ECD" w:rsidR="00594BFA" w:rsidRPr="00594BFA" w:rsidRDefault="00594BFA" w:rsidP="000131EB">
      <w:pPr>
        <w:pStyle w:val="Lijstalinea"/>
        <w:numPr>
          <w:ilvl w:val="0"/>
          <w:numId w:val="36"/>
        </w:numPr>
        <w:spacing w:line="276" w:lineRule="auto"/>
        <w:rPr>
          <w:rFonts w:ascii="Avenir Next LT Pro Light" w:hAnsi="Avenir Next LT Pro Light"/>
        </w:rPr>
      </w:pPr>
      <w:r w:rsidRPr="00594BFA">
        <w:rPr>
          <w:rFonts w:ascii="Avenir Next LT Pro Light" w:hAnsi="Avenir Next LT Pro Light"/>
        </w:rPr>
        <w:t xml:space="preserve">MRA-Elektrisch heeft een maandelijks operationeel overleg met de netbeheerders </w:t>
      </w:r>
      <w:r>
        <w:rPr>
          <w:rFonts w:ascii="Avenir Next LT Pro Light" w:hAnsi="Avenir Next LT Pro Light"/>
        </w:rPr>
        <w:t xml:space="preserve">(Stedin en Liander) </w:t>
      </w:r>
      <w:r w:rsidRPr="00594BFA">
        <w:rPr>
          <w:rFonts w:ascii="Avenir Next LT Pro Light" w:hAnsi="Avenir Next LT Pro Light"/>
        </w:rPr>
        <w:t>opgezet. Bij deze overleggen zijn de regioadviseurs voor Noord-Holland en voor Flevoland aanwezig bij het overleg met Liander en de regioadviseur voor Utrecht bij het overleg met Stedin. De actuele concessiehouder voor plaatsing van publieke laadinfra</w:t>
      </w:r>
      <w:r w:rsidR="00A72130">
        <w:rPr>
          <w:rFonts w:ascii="Avenir Next LT Pro Light" w:hAnsi="Avenir Next LT Pro Light"/>
        </w:rPr>
        <w:t>structuur</w:t>
      </w:r>
      <w:r w:rsidRPr="00594BFA">
        <w:rPr>
          <w:rFonts w:ascii="Avenir Next LT Pro Light" w:hAnsi="Avenir Next LT Pro Light"/>
        </w:rPr>
        <w:t xml:space="preserve"> en de aannemer nemen ook deel. Het overleg start met het delen van actuele onderwerpen en knelpunten, waarna vervolgens een gezamenlijk beheerde lijst met locatievoorstellen wordt doorgelopen. We starten bij de meest vertraagde locatievoorstellen en maken concrete afspraken om tot oplossingen te komen.</w:t>
      </w:r>
    </w:p>
    <w:p w14:paraId="4B25794E" w14:textId="2705BE3B" w:rsidR="00594BFA" w:rsidRDefault="00594BFA" w:rsidP="000131EB">
      <w:pPr>
        <w:pStyle w:val="Lijstalinea"/>
        <w:numPr>
          <w:ilvl w:val="0"/>
          <w:numId w:val="36"/>
        </w:numPr>
        <w:spacing w:line="276" w:lineRule="auto"/>
        <w:rPr>
          <w:rFonts w:ascii="Avenir Next LT Pro Light" w:hAnsi="Avenir Next LT Pro Light"/>
        </w:rPr>
      </w:pPr>
      <w:r w:rsidRPr="00594BFA">
        <w:rPr>
          <w:rFonts w:ascii="Avenir Next LT Pro Light" w:hAnsi="Avenir Next LT Pro Light"/>
        </w:rPr>
        <w:t xml:space="preserve">Daarnaast is er recent een </w:t>
      </w:r>
      <w:r w:rsidR="00597102">
        <w:rPr>
          <w:rFonts w:ascii="Avenir Next LT Pro Light" w:hAnsi="Avenir Next LT Pro Light"/>
        </w:rPr>
        <w:t>zes</w:t>
      </w:r>
      <w:r w:rsidRPr="00594BFA">
        <w:rPr>
          <w:rFonts w:ascii="Avenir Next LT Pro Light" w:hAnsi="Avenir Next LT Pro Light"/>
        </w:rPr>
        <w:t>wekelijks strategisch overleg met Liander en Stedin ingericht. In dit overleg nemen de projectmanager en projectmanager laadinfrastructuur van MRA-E deel. Dit overleg is gericht op onderwerpen zoals: versnellen aansluitproces, afstemming over visie vorming laadinfra</w:t>
      </w:r>
      <w:r w:rsidR="00A72130">
        <w:rPr>
          <w:rFonts w:ascii="Avenir Next LT Pro Light" w:hAnsi="Avenir Next LT Pro Light"/>
        </w:rPr>
        <w:t>structuur</w:t>
      </w:r>
      <w:r w:rsidRPr="00594BFA">
        <w:rPr>
          <w:rFonts w:ascii="Avenir Next LT Pro Light" w:hAnsi="Avenir Next LT Pro Light"/>
        </w:rPr>
        <w:t xml:space="preserve">, prognoses, etc. </w:t>
      </w:r>
    </w:p>
    <w:p w14:paraId="30008D9A" w14:textId="3D191075" w:rsidR="00594BFA" w:rsidRDefault="00594BFA" w:rsidP="000131EB">
      <w:pPr>
        <w:spacing w:line="276" w:lineRule="auto"/>
        <w:rPr>
          <w:rFonts w:ascii="Avenir Next LT Pro Light" w:hAnsi="Avenir Next LT Pro Light"/>
        </w:rPr>
      </w:pPr>
    </w:p>
    <w:p w14:paraId="2AB0732F" w14:textId="2F7C3EB7" w:rsidR="00A73CF0" w:rsidRDefault="00A73CF0" w:rsidP="000131EB">
      <w:pPr>
        <w:spacing w:line="276" w:lineRule="auto"/>
        <w:rPr>
          <w:rFonts w:ascii="Avenir Next LT Pro Light" w:hAnsi="Avenir Next LT Pro Light"/>
        </w:rPr>
      </w:pPr>
      <w:r>
        <w:rPr>
          <w:rFonts w:ascii="Avenir Next LT Pro Light" w:hAnsi="Avenir Next LT Pro Light"/>
        </w:rPr>
        <w:t xml:space="preserve">Slim laden is een kansrijk instrument om kostbare investeringen in het elektriciteitsnet te vermijden of uit te stellen en een stabiel net te houden (zie ook 4.1). MRA-Elektrisch en de gemeenten in de regio voeren samen slim laden voorbeeldprojecten uit.  Wij nodigen ook de regionale netbeheerders uit om zich bij de voorbeeldprojecten aan te sluiten. </w:t>
      </w:r>
    </w:p>
    <w:p w14:paraId="05991C78" w14:textId="3544C7C4" w:rsidR="00594BFA" w:rsidRPr="00594BFA" w:rsidRDefault="00594BFA" w:rsidP="000131EB">
      <w:pPr>
        <w:spacing w:line="276" w:lineRule="auto"/>
        <w:rPr>
          <w:rFonts w:ascii="Avenir Next LT Pro Light" w:hAnsi="Avenir Next LT Pro Light"/>
        </w:rPr>
      </w:pPr>
      <w:r>
        <w:rPr>
          <w:rFonts w:ascii="Avenir Next LT Pro Light" w:hAnsi="Avenir Next LT Pro Light"/>
        </w:rPr>
        <w:t xml:space="preserve">Daarnaast draagt MRA-E door middel van het opstellen van plankaarten voor gemeenten en het ontwikkelen van laadprofielen voor de regio, bij aan het inzichtelijk maken van de behoefte en plannen in de regio wat betreft laadinfrastructuur. </w:t>
      </w:r>
    </w:p>
    <w:p w14:paraId="6402AE33" w14:textId="77777777" w:rsidR="00EE5ABC" w:rsidRDefault="00EE5ABC" w:rsidP="000131EB">
      <w:pPr>
        <w:pStyle w:val="Kop1"/>
        <w:spacing w:line="276" w:lineRule="auto"/>
      </w:pPr>
      <w:bookmarkStart w:id="17" w:name="_Toc71287703"/>
      <w:bookmarkStart w:id="18" w:name="_GoBack"/>
      <w:bookmarkEnd w:id="18"/>
      <w:r>
        <w:lastRenderedPageBreak/>
        <w:t>Elektrisch rijden zo aantrekkelijk mogelijk maken</w:t>
      </w:r>
      <w:bookmarkEnd w:id="17"/>
    </w:p>
    <w:p w14:paraId="55E1C5E6" w14:textId="77777777" w:rsidR="00EE5ABC" w:rsidRPr="00AB2B06" w:rsidRDefault="00AB2B06" w:rsidP="000131EB">
      <w:pPr>
        <w:spacing w:line="276" w:lineRule="auto"/>
        <w:rPr>
          <w:rFonts w:ascii="Avenir Next LT Pro Light" w:hAnsi="Avenir Next LT Pro Light"/>
        </w:rPr>
      </w:pPr>
      <w:r>
        <w:rPr>
          <w:rFonts w:ascii="Avenir Next LT Pro Light" w:hAnsi="Avenir Next LT Pro Light"/>
        </w:rPr>
        <w:t>N</w:t>
      </w:r>
      <w:r w:rsidR="00EE5ABC" w:rsidRPr="00AB2B06">
        <w:rPr>
          <w:rFonts w:ascii="Avenir Next LT Pro Light" w:hAnsi="Avenir Next LT Pro Light"/>
        </w:rPr>
        <w:t>aast een juiste en dekkende mix aan laadinfrastructuur</w:t>
      </w:r>
      <w:r>
        <w:rPr>
          <w:rFonts w:ascii="Avenir Next LT Pro Light" w:hAnsi="Avenir Next LT Pro Light"/>
        </w:rPr>
        <w:t>, is het</w:t>
      </w:r>
      <w:r w:rsidR="00EE5ABC" w:rsidRPr="00AB2B06">
        <w:rPr>
          <w:rFonts w:ascii="Avenir Next LT Pro Light" w:hAnsi="Avenir Next LT Pro Light"/>
        </w:rPr>
        <w:t xml:space="preserve"> ook belangrijk om bepaalde voorwaarden na te streven die elektrisch rijden aantrekkelijker maken.</w:t>
      </w:r>
      <w:r>
        <w:rPr>
          <w:rFonts w:ascii="Avenir Next LT Pro Light" w:hAnsi="Avenir Next LT Pro Light"/>
        </w:rPr>
        <w:t xml:space="preserve"> Het gaat bijvoorbeeld om slim laden, prijstransparantie, open markten en open protocollen. </w:t>
      </w:r>
    </w:p>
    <w:p w14:paraId="5171ED8F" w14:textId="77777777" w:rsidR="008C60E2" w:rsidRPr="000859B3" w:rsidRDefault="008C60E2" w:rsidP="000131EB">
      <w:pPr>
        <w:pStyle w:val="Kop2"/>
        <w:spacing w:line="276" w:lineRule="auto"/>
      </w:pPr>
      <w:bookmarkStart w:id="19" w:name="_Toc71287704"/>
      <w:r w:rsidRPr="000859B3">
        <w:t>S</w:t>
      </w:r>
      <w:r w:rsidR="00DD55EF" w:rsidRPr="000859B3">
        <w:t>lim laden</w:t>
      </w:r>
      <w:bookmarkEnd w:id="19"/>
    </w:p>
    <w:p w14:paraId="1AB35B19" w14:textId="77777777" w:rsidR="00661AF9" w:rsidRPr="00A83964" w:rsidRDefault="00661AF9" w:rsidP="000131EB">
      <w:pPr>
        <w:spacing w:after="0" w:line="276" w:lineRule="auto"/>
        <w:rPr>
          <w:rFonts w:ascii="Avenir Next LT Pro Light" w:hAnsi="Avenir Next LT Pro Light"/>
        </w:rPr>
      </w:pPr>
      <w:r w:rsidRPr="00A83964">
        <w:rPr>
          <w:rFonts w:ascii="Avenir Next LT Pro Light" w:hAnsi="Avenir Next LT Pro Light"/>
        </w:rPr>
        <w:t xml:space="preserve">De groei van het aantal elektrische voertuigen heeft effect op de elektriciteitsvraag. Wanneer veel auto’s tegelijk laden of op bepaalde plekken (laadpleinen, snelladers) heeft dit gevolgen voor de balans op het elektriciteitsnet. Naast uitdagingen voor het net, biedt de laadvraag en accucapaciteit van elektrische auto’s ook kansen. Elektrische auto’s kunnen namelijk laden op momenten dat er een overschot is aan duurzame energie of juist uitgesteld laden bij tekorten aan duurzame energie of disbalans op het net. De laadsessie van elektrische auto’s wordt dan uitgesteld tot er een lage belasting op het net is. Bijvoorbeeld laat in de nacht als de elektriciteitsvraag van huishoudens laag is. Dit concept staat bekend als slim laden. </w:t>
      </w:r>
    </w:p>
    <w:p w14:paraId="6DBA80E2" w14:textId="77777777" w:rsidR="00661AF9" w:rsidRPr="00A83964" w:rsidRDefault="00661AF9" w:rsidP="000131EB">
      <w:pPr>
        <w:spacing w:after="0" w:line="276" w:lineRule="auto"/>
        <w:rPr>
          <w:rFonts w:ascii="Avenir Next LT Pro Light" w:hAnsi="Avenir Next LT Pro Light"/>
        </w:rPr>
      </w:pPr>
      <w:r w:rsidRPr="00A83964">
        <w:rPr>
          <w:rFonts w:ascii="Avenir Next LT Pro Light" w:hAnsi="Avenir Next LT Pro Light"/>
        </w:rPr>
        <w:t xml:space="preserve">Parkeerladen </w:t>
      </w:r>
      <w:r w:rsidR="00C65698" w:rsidRPr="00A83964">
        <w:rPr>
          <w:rFonts w:ascii="Avenir Next LT Pro Light" w:hAnsi="Avenir Next LT Pro Light"/>
        </w:rPr>
        <w:t>(</w:t>
      </w:r>
      <w:r w:rsidRPr="00A83964">
        <w:rPr>
          <w:rFonts w:ascii="Avenir Next LT Pro Light" w:hAnsi="Avenir Next LT Pro Light"/>
        </w:rPr>
        <w:t>laden op een bestemming waar de elektrisch rijder voor een langere periode verblijft</w:t>
      </w:r>
      <w:r w:rsidR="00C65698" w:rsidRPr="00A83964">
        <w:rPr>
          <w:rFonts w:ascii="Avenir Next LT Pro Light" w:hAnsi="Avenir Next LT Pro Light"/>
        </w:rPr>
        <w:t>)</w:t>
      </w:r>
      <w:r w:rsidRPr="00A83964">
        <w:rPr>
          <w:rFonts w:ascii="Avenir Next LT Pro Light" w:hAnsi="Avenir Next LT Pro Light"/>
        </w:rPr>
        <w:t xml:space="preserve"> vergroot de mogelijkheden voor duurzaam laden. Elektrische auto’s die langere tijd zijn aangesloten aan een laadpunt hebben wat wij noemen ‘duurzaam laden potentie’. Hiermee bedoelen we dat doordat de elektrische auto langere tijd is aangesloten er ook meer flexibiliteit ontstaat voor het uitgesteld of vertraagd laden van het voertuig. Het maakt voor de elektrisch rijder meestal niet uit of het voertuig om twee of om vier uur ’s nachts volgeladen is en daarom kan de start van de laadsessie probleemloos worden uitgesteld. </w:t>
      </w:r>
    </w:p>
    <w:p w14:paraId="26EF3DC9" w14:textId="294CE577" w:rsidR="00DD55EF" w:rsidRPr="00A83964" w:rsidRDefault="00C65698" w:rsidP="000131EB">
      <w:pPr>
        <w:spacing w:after="0" w:line="276" w:lineRule="auto"/>
        <w:rPr>
          <w:rFonts w:ascii="Avenir Next LT Pro Light" w:hAnsi="Avenir Next LT Pro Light"/>
        </w:rPr>
      </w:pPr>
      <w:r w:rsidRPr="00A83964">
        <w:rPr>
          <w:rFonts w:ascii="Avenir Next LT Pro Light" w:hAnsi="Avenir Next LT Pro Light"/>
          <w:noProof/>
          <w:lang w:eastAsia="nl-NL"/>
        </w:rPr>
        <mc:AlternateContent>
          <mc:Choice Requires="wps">
            <w:drawing>
              <wp:anchor distT="0" distB="0" distL="114300" distR="114300" simplePos="0" relativeHeight="251652096" behindDoc="1" locked="0" layoutInCell="1" allowOverlap="1" wp14:anchorId="2F059CFC" wp14:editId="05644ABD">
                <wp:simplePos x="0" y="0"/>
                <wp:positionH relativeFrom="column">
                  <wp:posOffset>3265805</wp:posOffset>
                </wp:positionH>
                <wp:positionV relativeFrom="paragraph">
                  <wp:posOffset>8255</wp:posOffset>
                </wp:positionV>
                <wp:extent cx="2132965" cy="1782445"/>
                <wp:effectExtent l="0" t="0" r="19685" b="2730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1782445"/>
                        </a:xfrm>
                        <a:prstGeom prst="rect">
                          <a:avLst/>
                        </a:prstGeom>
                        <a:solidFill>
                          <a:srgbClr val="009BC5"/>
                        </a:solidFill>
                        <a:ln w="9525">
                          <a:solidFill>
                            <a:srgbClr val="009BC5"/>
                          </a:solidFill>
                          <a:miter lim="800000"/>
                          <a:headEnd/>
                          <a:tailEnd/>
                        </a:ln>
                      </wps:spPr>
                      <wps:txbx>
                        <w:txbxContent>
                          <w:p w14:paraId="633A64BA" w14:textId="77777777" w:rsidR="00677C1D" w:rsidRPr="00BE6FA0" w:rsidRDefault="00677C1D" w:rsidP="00C65698">
                            <w:pPr>
                              <w:rPr>
                                <w:rFonts w:ascii="Avenir LT Std 45 Book" w:hAnsi="Avenir LT Std 45 Book"/>
                                <w:b/>
                                <w:bCs/>
                                <w:color w:val="FFFFFF" w:themeColor="background1"/>
                              </w:rPr>
                            </w:pPr>
                            <w:r>
                              <w:rPr>
                                <w:rFonts w:ascii="Avenir LT Std 45 Book" w:hAnsi="Avenir LT Std 45 Book"/>
                                <w:b/>
                                <w:bCs/>
                                <w:color w:val="FFFFFF" w:themeColor="background1"/>
                              </w:rPr>
                              <w:t>Vehicle to grid (V2G)</w:t>
                            </w:r>
                            <w:r>
                              <w:rPr>
                                <w:rFonts w:ascii="Avenir LT Std 45 Book" w:hAnsi="Avenir LT Std 45 Book"/>
                                <w:b/>
                                <w:bCs/>
                                <w:color w:val="FFFFFF" w:themeColor="background1"/>
                              </w:rPr>
                              <w:br/>
                            </w:r>
                            <w:r w:rsidRPr="00BE6FA0">
                              <w:rPr>
                                <w:rFonts w:ascii="Avenir LT Std 45 Book" w:hAnsi="Avenir LT Std 45 Book"/>
                                <w:color w:val="FFFFFF" w:themeColor="background1"/>
                                <w:sz w:val="18"/>
                                <w:szCs w:val="18"/>
                              </w:rPr>
                              <w:t xml:space="preserve">Een uiterste binnen het concept van slim laden is het gebruik van een elektrische auto als opslag voor elektriciteit. Naast het slim sturen van de laadstroom, biedt dit de mogelijkheid om elektriciteit terug te leveren aan het net. We spreken dan van bidirectioneel laden of V2G-laden. </w:t>
                            </w:r>
                            <w:r>
                              <w:rPr>
                                <w:rFonts w:ascii="Avenir LT Std 45 Book" w:hAnsi="Avenir LT Std 45 Book"/>
                                <w:color w:val="FFFFFF" w:themeColor="background1"/>
                                <w:sz w:val="18"/>
                                <w:szCs w:val="18"/>
                              </w:rPr>
                              <w:t xml:space="preserve">MRA-Elektrisch ontwikkelt voorbeeldprojecten met terugleveren op zowel gelijkstroom als wisselstroom.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059CFC" id="_x0000_s1030" type="#_x0000_t202" style="position:absolute;margin-left:257.15pt;margin-top:.65pt;width:167.95pt;height:14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" fillcolor="#009bc5" strokecolor="#009bc5">
                <v:textbox>
                  <w:txbxContent>
                    <w:p w14:paraId="633A64BA" w14:textId="77777777" w:rsidR="00677C1D" w:rsidRPr="00BE6FA0" w:rsidRDefault="00677C1D" w:rsidP="00C65698">
                      <w:pPr>
                        <w:rPr>
                          <w:rFonts w:ascii="Avenir LT Std 45 Book" w:hAnsi="Avenir LT Std 45 Book"/>
                          <w:b/>
                          <w:bCs/>
                          <w:color w:val="FFFFFF" w:themeColor="background1"/>
                        </w:rPr>
                      </w:pPr>
                      <w:r>
                        <w:rPr>
                          <w:rFonts w:ascii="Avenir LT Std 45 Book" w:hAnsi="Avenir LT Std 45 Book"/>
                          <w:b/>
                          <w:bCs/>
                          <w:color w:val="FFFFFF" w:themeColor="background1"/>
                        </w:rPr>
                        <w:t xml:space="preserve">Vehicle </w:t>
                      </w:r>
                      <w:proofErr w:type="spellStart"/>
                      <w:r>
                        <w:rPr>
                          <w:rFonts w:ascii="Avenir LT Std 45 Book" w:hAnsi="Avenir LT Std 45 Book"/>
                          <w:b/>
                          <w:bCs/>
                          <w:color w:val="FFFFFF" w:themeColor="background1"/>
                        </w:rPr>
                        <w:t>to</w:t>
                      </w:r>
                      <w:proofErr w:type="spellEnd"/>
                      <w:r>
                        <w:rPr>
                          <w:rFonts w:ascii="Avenir LT Std 45 Book" w:hAnsi="Avenir LT Std 45 Book"/>
                          <w:b/>
                          <w:bCs/>
                          <w:color w:val="FFFFFF" w:themeColor="background1"/>
                        </w:rPr>
                        <w:t xml:space="preserve"> </w:t>
                      </w:r>
                      <w:proofErr w:type="spellStart"/>
                      <w:r>
                        <w:rPr>
                          <w:rFonts w:ascii="Avenir LT Std 45 Book" w:hAnsi="Avenir LT Std 45 Book"/>
                          <w:b/>
                          <w:bCs/>
                          <w:color w:val="FFFFFF" w:themeColor="background1"/>
                        </w:rPr>
                        <w:t>grid</w:t>
                      </w:r>
                      <w:proofErr w:type="spellEnd"/>
                      <w:r>
                        <w:rPr>
                          <w:rFonts w:ascii="Avenir LT Std 45 Book" w:hAnsi="Avenir LT Std 45 Book"/>
                          <w:b/>
                          <w:bCs/>
                          <w:color w:val="FFFFFF" w:themeColor="background1"/>
                        </w:rPr>
                        <w:t xml:space="preserve"> (V2G)</w:t>
                      </w:r>
                      <w:r>
                        <w:rPr>
                          <w:rFonts w:ascii="Avenir LT Std 45 Book" w:hAnsi="Avenir LT Std 45 Book"/>
                          <w:b/>
                          <w:bCs/>
                          <w:color w:val="FFFFFF" w:themeColor="background1"/>
                        </w:rPr>
                        <w:br/>
                      </w:r>
                      <w:r w:rsidRPr="00BE6FA0">
                        <w:rPr>
                          <w:rFonts w:ascii="Avenir LT Std 45 Book" w:hAnsi="Avenir LT Std 45 Book"/>
                          <w:color w:val="FFFFFF" w:themeColor="background1"/>
                          <w:sz w:val="18"/>
                          <w:szCs w:val="18"/>
                        </w:rPr>
                        <w:t xml:space="preserve">Een uiterste binnen het concept van slim laden is het gebruik van een elektrische auto als opslag voor elektriciteit. Naast het slim sturen van de laadstroom, biedt dit de mogelijkheid om elektriciteit terug te leveren aan het net. We spreken dan van </w:t>
                      </w:r>
                      <w:proofErr w:type="spellStart"/>
                      <w:r w:rsidRPr="00BE6FA0">
                        <w:rPr>
                          <w:rFonts w:ascii="Avenir LT Std 45 Book" w:hAnsi="Avenir LT Std 45 Book"/>
                          <w:color w:val="FFFFFF" w:themeColor="background1"/>
                          <w:sz w:val="18"/>
                          <w:szCs w:val="18"/>
                        </w:rPr>
                        <w:t>bidirectioneel</w:t>
                      </w:r>
                      <w:proofErr w:type="spellEnd"/>
                      <w:r w:rsidRPr="00BE6FA0">
                        <w:rPr>
                          <w:rFonts w:ascii="Avenir LT Std 45 Book" w:hAnsi="Avenir LT Std 45 Book"/>
                          <w:color w:val="FFFFFF" w:themeColor="background1"/>
                          <w:sz w:val="18"/>
                          <w:szCs w:val="18"/>
                        </w:rPr>
                        <w:t xml:space="preserve"> laden of V2G-laden. </w:t>
                      </w:r>
                      <w:r>
                        <w:rPr>
                          <w:rFonts w:ascii="Avenir LT Std 45 Book" w:hAnsi="Avenir LT Std 45 Book"/>
                          <w:color w:val="FFFFFF" w:themeColor="background1"/>
                          <w:sz w:val="18"/>
                          <w:szCs w:val="18"/>
                        </w:rPr>
                        <w:t xml:space="preserve">MRA-Elektrisch ontwikkelt voorbeeldprojecten met </w:t>
                      </w:r>
                      <w:proofErr w:type="spellStart"/>
                      <w:r>
                        <w:rPr>
                          <w:rFonts w:ascii="Avenir LT Std 45 Book" w:hAnsi="Avenir LT Std 45 Book"/>
                          <w:color w:val="FFFFFF" w:themeColor="background1"/>
                          <w:sz w:val="18"/>
                          <w:szCs w:val="18"/>
                        </w:rPr>
                        <w:t>terugleveren</w:t>
                      </w:r>
                      <w:proofErr w:type="spellEnd"/>
                      <w:r>
                        <w:rPr>
                          <w:rFonts w:ascii="Avenir LT Std 45 Book" w:hAnsi="Avenir LT Std 45 Book"/>
                          <w:color w:val="FFFFFF" w:themeColor="background1"/>
                          <w:sz w:val="18"/>
                          <w:szCs w:val="18"/>
                        </w:rPr>
                        <w:t xml:space="preserve"> op zowel gelijkstroom als wisselstroom.  </w:t>
                      </w:r>
                    </w:p>
                  </w:txbxContent>
                </v:textbox>
                <w10:wrap type="square"/>
              </v:shape>
            </w:pict>
          </mc:Fallback>
        </mc:AlternateContent>
      </w:r>
      <w:r w:rsidR="00661AF9" w:rsidRPr="00A83964">
        <w:rPr>
          <w:rFonts w:ascii="Avenir Next LT Pro Light" w:hAnsi="Avenir Next LT Pro Light"/>
        </w:rPr>
        <w:t xml:space="preserve">Van een voertuig dat binnen twee uur weer van het laadpunt weg moet kan de laadsessie </w:t>
      </w:r>
      <w:r w:rsidR="00F1088C">
        <w:rPr>
          <w:rFonts w:ascii="Avenir Next LT Pro Light" w:hAnsi="Avenir Next LT Pro Light"/>
        </w:rPr>
        <w:t xml:space="preserve">soms </w:t>
      </w:r>
      <w:r w:rsidR="00661AF9" w:rsidRPr="00A83964">
        <w:rPr>
          <w:rFonts w:ascii="Avenir Next LT Pro Light" w:hAnsi="Avenir Next LT Pro Light"/>
        </w:rPr>
        <w:t>niet vertraagd worden zonder de elektrisch rijder te benadelen. Elektrisch rijders moeten</w:t>
      </w:r>
      <w:r w:rsidR="00F1088C">
        <w:rPr>
          <w:rFonts w:ascii="Avenir Next LT Pro Light" w:hAnsi="Avenir Next LT Pro Light"/>
        </w:rPr>
        <w:t xml:space="preserve"> daarom</w:t>
      </w:r>
      <w:r w:rsidR="00661AF9" w:rsidRPr="00A83964">
        <w:rPr>
          <w:rFonts w:ascii="Avenir Next LT Pro Light" w:hAnsi="Avenir Next LT Pro Light"/>
        </w:rPr>
        <w:t xml:space="preserve"> kunnen vertrouwen op een bepaalde laadsnelheid bij deze publieke voorziening. Door een ondergrens te stellen aan laadvermogen en/of elektrisch rijders een keuze voor al dan niet slim laden te geven, wordt voorkomen dat zij onverwacht hun reis moeten afbreken door onvoldoende acculading</w:t>
      </w:r>
      <w:r w:rsidRPr="00A83964">
        <w:rPr>
          <w:rFonts w:ascii="Avenir Next LT Pro Light" w:hAnsi="Avenir Next LT Pro Light"/>
        </w:rPr>
        <w:t>.</w:t>
      </w:r>
    </w:p>
    <w:p w14:paraId="43222036" w14:textId="77777777" w:rsidR="00AB2B06" w:rsidRDefault="00AB2B06" w:rsidP="000131EB">
      <w:pPr>
        <w:spacing w:after="0" w:line="276" w:lineRule="auto"/>
        <w:rPr>
          <w:rFonts w:ascii="Avenir Next LT Pro Light" w:hAnsi="Avenir Next LT Pro Light"/>
        </w:rPr>
      </w:pPr>
    </w:p>
    <w:p w14:paraId="0F3A8971" w14:textId="7261B5FA" w:rsidR="00C65698" w:rsidRDefault="00974ADE" w:rsidP="000131EB">
      <w:pPr>
        <w:spacing w:after="0" w:line="276" w:lineRule="auto"/>
        <w:rPr>
          <w:rFonts w:ascii="Avenir Next LT Pro Light" w:hAnsi="Avenir Next LT Pro Light"/>
        </w:rPr>
      </w:pPr>
      <w:r>
        <w:rPr>
          <w:rFonts w:ascii="Avenir Next LT Pro Light" w:hAnsi="Avenir Next LT Pro Light"/>
        </w:rPr>
        <w:t>MRA-E is in samenwerking met diverse</w:t>
      </w:r>
      <w:r w:rsidR="00F1088C">
        <w:rPr>
          <w:rFonts w:ascii="Avenir Next LT Pro Light" w:hAnsi="Avenir Next LT Pro Light"/>
        </w:rPr>
        <w:t xml:space="preserve"> marktpartijen en </w:t>
      </w:r>
      <w:r>
        <w:rPr>
          <w:rFonts w:ascii="Avenir Next LT Pro Light" w:hAnsi="Avenir Next LT Pro Light"/>
        </w:rPr>
        <w:t xml:space="preserve"> gemeenten binnen regio Noordwest een aantal </w:t>
      </w:r>
      <w:r w:rsidR="00F1088C">
        <w:rPr>
          <w:rFonts w:ascii="Avenir Next LT Pro Light" w:hAnsi="Avenir Next LT Pro Light"/>
        </w:rPr>
        <w:t xml:space="preserve">voorbeeldprojecten </w:t>
      </w:r>
      <w:r>
        <w:rPr>
          <w:rFonts w:ascii="Avenir Next LT Pro Light" w:hAnsi="Avenir Next LT Pro Light"/>
        </w:rPr>
        <w:t>gestart rondom slim laden</w:t>
      </w:r>
      <w:r w:rsidR="00F1088C">
        <w:rPr>
          <w:rFonts w:ascii="Avenir Next LT Pro Light" w:hAnsi="Avenir Next LT Pro Light"/>
        </w:rPr>
        <w:t xml:space="preserve"> (www.groenladen.nl)</w:t>
      </w:r>
      <w:r>
        <w:rPr>
          <w:rFonts w:ascii="Avenir Next LT Pro Light" w:hAnsi="Avenir Next LT Pro Light"/>
        </w:rPr>
        <w:t xml:space="preserve">. </w:t>
      </w:r>
      <w:r w:rsidRPr="00974ADE">
        <w:rPr>
          <w:rFonts w:ascii="Avenir Next LT Pro Light" w:hAnsi="Avenir Next LT Pro Light"/>
        </w:rPr>
        <w:t xml:space="preserve">Met de voorbeeldprojecten </w:t>
      </w:r>
      <w:r>
        <w:rPr>
          <w:rFonts w:ascii="Avenir Next LT Pro Light" w:hAnsi="Avenir Next LT Pro Light"/>
        </w:rPr>
        <w:t>wordt</w:t>
      </w:r>
      <w:r w:rsidRPr="00974ADE">
        <w:rPr>
          <w:rFonts w:ascii="Avenir Next LT Pro Light" w:hAnsi="Avenir Next LT Pro Light"/>
        </w:rPr>
        <w:t xml:space="preserve"> ervaring op</w:t>
      </w:r>
      <w:r>
        <w:rPr>
          <w:rFonts w:ascii="Avenir Next LT Pro Light" w:hAnsi="Avenir Next LT Pro Light"/>
        </w:rPr>
        <w:t>gedaan</w:t>
      </w:r>
      <w:r w:rsidRPr="00974ADE">
        <w:rPr>
          <w:rFonts w:ascii="Avenir Next LT Pro Light" w:hAnsi="Avenir Next LT Pro Light"/>
        </w:rPr>
        <w:t xml:space="preserve"> met waar de meeste maatschappelijk meerwaarde ligt én met wat prettig is voor de e-rijder</w:t>
      </w:r>
      <w:r>
        <w:rPr>
          <w:rFonts w:ascii="Avenir Next LT Pro Light" w:hAnsi="Avenir Next LT Pro Light"/>
        </w:rPr>
        <w:t xml:space="preserve"> om zodoende in de toekomst slim laden breder te kunnen toepassen. </w:t>
      </w:r>
      <w:r w:rsidR="00505336">
        <w:rPr>
          <w:rFonts w:ascii="Avenir Next LT Pro Light" w:hAnsi="Avenir Next LT Pro Light"/>
        </w:rPr>
        <w:t xml:space="preserve">Onze insteek bij voorbeeldprojecten is altijd dat bij slim laden elektrisch rijden  en laden betrouwbaar en gemakkelijk blijft voor de elektrisch rijder. </w:t>
      </w:r>
      <w:r w:rsidR="00F1088C">
        <w:rPr>
          <w:rFonts w:ascii="Avenir Next LT Pro Light" w:hAnsi="Avenir Next LT Pro Light"/>
        </w:rPr>
        <w:t>Met behulp van de voorbeeldprojecten werken we toe naar een regio brede slim laden toepassing.</w:t>
      </w:r>
    </w:p>
    <w:p w14:paraId="53B77503" w14:textId="77777777" w:rsidR="00505336" w:rsidRDefault="00505336" w:rsidP="000131EB">
      <w:pPr>
        <w:spacing w:after="0" w:line="276" w:lineRule="auto"/>
        <w:rPr>
          <w:rFonts w:ascii="Avenir Next LT Pro Light" w:hAnsi="Avenir Next LT Pro Light"/>
        </w:rPr>
      </w:pPr>
    </w:p>
    <w:p w14:paraId="4010E070" w14:textId="77777777" w:rsidR="00766127" w:rsidRPr="00453760" w:rsidRDefault="00797BBC" w:rsidP="000131EB">
      <w:pPr>
        <w:spacing w:after="0" w:line="276" w:lineRule="auto"/>
        <w:rPr>
          <w:rFonts w:ascii="Avenir Next LT Pro Light" w:hAnsi="Avenir Next LT Pro Light"/>
          <w:b/>
          <w:bCs/>
        </w:rPr>
      </w:pPr>
      <w:r w:rsidRPr="00453760">
        <w:rPr>
          <w:rFonts w:ascii="Avenir Next LT Pro Light" w:hAnsi="Avenir Next LT Pro Light"/>
          <w:b/>
          <w:bCs/>
        </w:rPr>
        <w:t>P</w:t>
      </w:r>
      <w:r w:rsidR="00453760" w:rsidRPr="00453760">
        <w:rPr>
          <w:rFonts w:ascii="Avenir Next LT Pro Light" w:hAnsi="Avenir Next LT Pro Light"/>
          <w:b/>
          <w:bCs/>
        </w:rPr>
        <w:t>arkeerladen</w:t>
      </w:r>
      <w:r w:rsidRPr="00453760">
        <w:rPr>
          <w:rFonts w:ascii="Avenir Next LT Pro Light" w:hAnsi="Avenir Next LT Pro Light"/>
          <w:b/>
          <w:bCs/>
        </w:rPr>
        <w:t xml:space="preserve"> </w:t>
      </w:r>
      <w:r w:rsidR="00C501D2" w:rsidRPr="00453760">
        <w:rPr>
          <w:rFonts w:ascii="Avenir Next LT Pro Light" w:hAnsi="Avenir Next LT Pro Light"/>
          <w:b/>
          <w:bCs/>
        </w:rPr>
        <w:t>en lange laadsessies</w:t>
      </w:r>
    </w:p>
    <w:p w14:paraId="627EF530" w14:textId="30250E09" w:rsidR="00797BBC" w:rsidRDefault="00797BBC" w:rsidP="000131EB">
      <w:pPr>
        <w:spacing w:after="0" w:line="276" w:lineRule="auto"/>
        <w:rPr>
          <w:rFonts w:ascii="Avenir Next LT Pro Light" w:hAnsi="Avenir Next LT Pro Light"/>
        </w:rPr>
      </w:pPr>
      <w:r w:rsidRPr="0044473A">
        <w:rPr>
          <w:rFonts w:ascii="Avenir Next LT Pro Light" w:hAnsi="Avenir Next LT Pro Light"/>
        </w:rPr>
        <w:lastRenderedPageBreak/>
        <w:t>In de media verschenen de afgelopen jaren regelmatig berichten over zogenaamde laadpaalklevers. Hierin werd soms een beeld geschetst dat laadpalen op grote schaal bezet worden gehouden door elektrisch rijders die niet of nauwelijks het voertuig ook werkelijk opladen. De Hogeschool van Amsterdam voerde in opdracht van MRA-Elektrisch en de G4</w:t>
      </w:r>
      <w:r w:rsidR="00EE0527">
        <w:rPr>
          <w:rFonts w:ascii="Avenir Next LT Pro Light" w:hAnsi="Avenir Next LT Pro Light"/>
        </w:rPr>
        <w:t>-steden</w:t>
      </w:r>
      <w:r w:rsidRPr="0044473A">
        <w:rPr>
          <w:rFonts w:ascii="Avenir Next LT Pro Light" w:hAnsi="Avenir Next LT Pro Light"/>
        </w:rPr>
        <w:t xml:space="preserve"> onderzoek uit naar de ‘laadpaalklever’, iemand die met de elektrische auto een laadplek ‘bezet’ houdt. Het blijkt dat de meeste elektrische rijders zich net als andere autobezitters gedragen. Mensen starten de laadsessie in de avond na hun werk en eindigen de volgende ochtend bij vertrek. Minder dan 1 procent van de laadsessies zijn 48 uur of langer. Daarnaast zijn er altijd twee laadpunten per laadpaal aanwezig, zodat een lange laadsessie kan plaatsvinden terwijl het andere laadpunt nog beschikbaar is. </w:t>
      </w:r>
    </w:p>
    <w:p w14:paraId="3B911DBC" w14:textId="77777777" w:rsidR="00453760" w:rsidRPr="0044473A" w:rsidRDefault="00453760" w:rsidP="000131EB">
      <w:pPr>
        <w:spacing w:after="0" w:line="276" w:lineRule="auto"/>
        <w:rPr>
          <w:rFonts w:ascii="Avenir Next LT Pro Light" w:hAnsi="Avenir Next LT Pro Light"/>
        </w:rPr>
      </w:pPr>
    </w:p>
    <w:p w14:paraId="492E9355" w14:textId="77777777" w:rsidR="00797BBC" w:rsidRPr="0044473A" w:rsidRDefault="00797BBC" w:rsidP="000131EB">
      <w:pPr>
        <w:spacing w:after="0" w:line="276" w:lineRule="auto"/>
        <w:rPr>
          <w:rFonts w:ascii="Avenir Next LT Pro Light" w:hAnsi="Avenir Next LT Pro Light"/>
        </w:rPr>
      </w:pPr>
      <w:r w:rsidRPr="0044473A">
        <w:rPr>
          <w:rFonts w:ascii="Avenir Next LT Pro Light" w:hAnsi="Avenir Next LT Pro Light"/>
        </w:rPr>
        <w:t>Om eventuele frustraties rondom laadpaalklevers in de wijk weg te nemen is helder beleid nodig. Vier aandachtspunten voor het vormen van beleid:</w:t>
      </w:r>
    </w:p>
    <w:p w14:paraId="1AD6FC26" w14:textId="77777777" w:rsidR="00720556" w:rsidRPr="0044473A" w:rsidRDefault="00720556" w:rsidP="000131EB">
      <w:pPr>
        <w:pStyle w:val="Lijstalinea"/>
        <w:numPr>
          <w:ilvl w:val="0"/>
          <w:numId w:val="3"/>
        </w:numPr>
        <w:spacing w:line="276" w:lineRule="auto"/>
        <w:rPr>
          <w:rFonts w:ascii="Avenir Next LT Pro Light" w:hAnsi="Avenir Next LT Pro Light"/>
        </w:rPr>
      </w:pPr>
      <w:r w:rsidRPr="0044473A">
        <w:rPr>
          <w:rFonts w:ascii="Avenir Next LT Pro Light" w:hAnsi="Avenir Next LT Pro Light"/>
        </w:rPr>
        <w:t>Het is lastig na te gaan hoe lang een auto al volgeladen is, het beboeten van aangesloten blijven zonder te laden kan dan tot onredelijke boetes leiden.</w:t>
      </w:r>
    </w:p>
    <w:p w14:paraId="4493F03B" w14:textId="77777777" w:rsidR="00797BBC" w:rsidRPr="0044473A" w:rsidRDefault="00797BBC" w:rsidP="000131EB">
      <w:pPr>
        <w:pStyle w:val="Lijstalinea"/>
        <w:numPr>
          <w:ilvl w:val="0"/>
          <w:numId w:val="3"/>
        </w:numPr>
        <w:spacing w:line="276" w:lineRule="auto"/>
        <w:rPr>
          <w:rFonts w:ascii="Avenir Next LT Pro Light" w:hAnsi="Avenir Next LT Pro Light"/>
        </w:rPr>
      </w:pPr>
      <w:r w:rsidRPr="0044473A">
        <w:rPr>
          <w:rFonts w:ascii="Avenir Next LT Pro Light" w:hAnsi="Avenir Next LT Pro Light"/>
        </w:rPr>
        <w:t xml:space="preserve">Wanneer een elektrische auto langer op een laadplek staat is slim laden mogelijk. </w:t>
      </w:r>
    </w:p>
    <w:p w14:paraId="7A73EAA3" w14:textId="12C7CE09" w:rsidR="00720556" w:rsidRPr="0044473A" w:rsidRDefault="00720556" w:rsidP="000131EB">
      <w:pPr>
        <w:pStyle w:val="Lijstalinea"/>
        <w:numPr>
          <w:ilvl w:val="0"/>
          <w:numId w:val="3"/>
        </w:numPr>
        <w:spacing w:line="276" w:lineRule="auto"/>
        <w:rPr>
          <w:rFonts w:ascii="Avenir Next LT Pro Light" w:hAnsi="Avenir Next LT Pro Light"/>
        </w:rPr>
      </w:pPr>
      <w:r w:rsidRPr="0044473A">
        <w:rPr>
          <w:rFonts w:ascii="Avenir Next LT Pro Light" w:hAnsi="Avenir Next LT Pro Light"/>
        </w:rPr>
        <w:t>Onnodig lange laadsessies kunnen heel lokaal plaatsvinden. Voordat algemene regels worden ingevoerd is het goed om samen met MRA-Elektrisch te onderzoeken of er werkelijk</w:t>
      </w:r>
      <w:r w:rsidR="00C501D2" w:rsidRPr="0044473A">
        <w:rPr>
          <w:rFonts w:ascii="Avenir Next LT Pro Light" w:hAnsi="Avenir Next LT Pro Light"/>
        </w:rPr>
        <w:t xml:space="preserve"> </w:t>
      </w:r>
      <w:r w:rsidRPr="0044473A">
        <w:rPr>
          <w:rFonts w:ascii="Avenir Next LT Pro Light" w:hAnsi="Avenir Next LT Pro Light"/>
        </w:rPr>
        <w:t xml:space="preserve">een probleem is in de gemeente en bij welke laadpalen dat exact is. </w:t>
      </w:r>
      <w:r w:rsidR="00453760">
        <w:rPr>
          <w:rFonts w:ascii="Avenir Next LT Pro Light" w:hAnsi="Avenir Next LT Pro Light"/>
        </w:rPr>
        <w:t>MRA-E</w:t>
      </w:r>
      <w:r w:rsidRPr="0044473A">
        <w:rPr>
          <w:rFonts w:ascii="Avenir Next LT Pro Light" w:hAnsi="Avenir Next LT Pro Light"/>
        </w:rPr>
        <w:t xml:space="preserve"> </w:t>
      </w:r>
      <w:r w:rsidR="00C501D2" w:rsidRPr="0044473A">
        <w:rPr>
          <w:rFonts w:ascii="Avenir Next LT Pro Light" w:hAnsi="Avenir Next LT Pro Light"/>
        </w:rPr>
        <w:t>k</w:t>
      </w:r>
      <w:r w:rsidR="00453760">
        <w:rPr>
          <w:rFonts w:ascii="Avenir Next LT Pro Light" w:hAnsi="Avenir Next LT Pro Light"/>
        </w:rPr>
        <w:t>an</w:t>
      </w:r>
      <w:r w:rsidR="00C501D2" w:rsidRPr="0044473A">
        <w:rPr>
          <w:rFonts w:ascii="Avenir Next LT Pro Light" w:hAnsi="Avenir Next LT Pro Light"/>
        </w:rPr>
        <w:t xml:space="preserve"> hier een rapportage over opleveren en </w:t>
      </w:r>
      <w:r w:rsidR="00453760">
        <w:rPr>
          <w:rFonts w:ascii="Avenir Next LT Pro Light" w:hAnsi="Avenir Next LT Pro Light"/>
        </w:rPr>
        <w:t xml:space="preserve">samen met de gemeente </w:t>
      </w:r>
      <w:r w:rsidR="00C501D2" w:rsidRPr="0044473A">
        <w:rPr>
          <w:rFonts w:ascii="Avenir Next LT Pro Light" w:hAnsi="Avenir Next LT Pro Light"/>
        </w:rPr>
        <w:t>tot gerichte acties komen</w:t>
      </w:r>
      <w:r w:rsidR="00594BFA">
        <w:rPr>
          <w:rStyle w:val="Voetnootmarkering"/>
          <w:rFonts w:ascii="Avenir Next LT Pro Light" w:hAnsi="Avenir Next LT Pro Light"/>
        </w:rPr>
        <w:footnoteReference w:id="14"/>
      </w:r>
      <w:r w:rsidR="00C501D2" w:rsidRPr="0044473A">
        <w:rPr>
          <w:rFonts w:ascii="Avenir Next LT Pro Light" w:hAnsi="Avenir Next LT Pro Light"/>
        </w:rPr>
        <w:t>.</w:t>
      </w:r>
    </w:p>
    <w:p w14:paraId="4BFD5BEF" w14:textId="77777777" w:rsidR="00797BBC" w:rsidRPr="0044473A" w:rsidRDefault="00797BBC" w:rsidP="000131EB">
      <w:pPr>
        <w:pStyle w:val="Lijstalinea"/>
        <w:numPr>
          <w:ilvl w:val="0"/>
          <w:numId w:val="3"/>
        </w:numPr>
        <w:spacing w:line="276" w:lineRule="auto"/>
        <w:rPr>
          <w:rFonts w:ascii="Avenir Next LT Pro Light" w:hAnsi="Avenir Next LT Pro Light"/>
        </w:rPr>
      </w:pPr>
      <w:r w:rsidRPr="0044473A">
        <w:rPr>
          <w:rFonts w:ascii="Avenir Next LT Pro Light" w:hAnsi="Avenir Next LT Pro Light"/>
        </w:rPr>
        <w:t>Wanneer elektrisch</w:t>
      </w:r>
      <w:r w:rsidR="00453760">
        <w:rPr>
          <w:rFonts w:ascii="Avenir Next LT Pro Light" w:hAnsi="Avenir Next LT Pro Light"/>
        </w:rPr>
        <w:t>e</w:t>
      </w:r>
      <w:r w:rsidRPr="0044473A">
        <w:rPr>
          <w:rFonts w:ascii="Avenir Next LT Pro Light" w:hAnsi="Avenir Next LT Pro Light"/>
        </w:rPr>
        <w:t xml:space="preserve"> rijders aangemoedigd worden hun auto direct na het laden weg te halen neemt de auto ergens anders een parkeerplek in. Dit terwijl de laadplek leeg blijft. Een boete</w:t>
      </w:r>
      <w:r w:rsidR="00C501D2" w:rsidRPr="0044473A">
        <w:rPr>
          <w:rFonts w:ascii="Avenir Next LT Pro Light" w:hAnsi="Avenir Next LT Pro Light"/>
        </w:rPr>
        <w:t>-</w:t>
      </w:r>
      <w:r w:rsidRPr="0044473A">
        <w:rPr>
          <w:rFonts w:ascii="Avenir Next LT Pro Light" w:hAnsi="Avenir Next LT Pro Light"/>
        </w:rPr>
        <w:t xml:space="preserve"> of connectietarief kan daarom</w:t>
      </w:r>
      <w:r w:rsidR="00C501D2" w:rsidRPr="0044473A">
        <w:rPr>
          <w:rFonts w:ascii="Avenir Next LT Pro Light" w:hAnsi="Avenir Next LT Pro Light"/>
        </w:rPr>
        <w:t xml:space="preserve"> in sommige gevallen</w:t>
      </w:r>
      <w:r w:rsidRPr="0044473A">
        <w:rPr>
          <w:rFonts w:ascii="Avenir Next LT Pro Light" w:hAnsi="Avenir Next LT Pro Light"/>
        </w:rPr>
        <w:t xml:space="preserve"> juist averechts werken.</w:t>
      </w:r>
    </w:p>
    <w:p w14:paraId="51BCCF3E" w14:textId="389507E9" w:rsidR="00797BBC" w:rsidRPr="0044473A" w:rsidRDefault="00797BBC" w:rsidP="000131EB">
      <w:pPr>
        <w:pStyle w:val="Lijstalinea"/>
        <w:numPr>
          <w:ilvl w:val="0"/>
          <w:numId w:val="3"/>
        </w:numPr>
        <w:spacing w:line="276" w:lineRule="auto"/>
        <w:rPr>
          <w:rFonts w:ascii="Avenir Next LT Pro Light" w:hAnsi="Avenir Next LT Pro Light"/>
        </w:rPr>
      </w:pPr>
      <w:r w:rsidRPr="0044473A">
        <w:rPr>
          <w:rFonts w:ascii="Avenir Next LT Pro Light" w:hAnsi="Avenir Next LT Pro Light"/>
        </w:rPr>
        <w:t xml:space="preserve">Het stimuleren van elektrisch vervoer door het parkeertarief te schrappen voor elektrisch voertuigen of door een ontheffing voor een parkeervergunning te geven heeft een stimulerend effect voor elektrisch rijden. Hier staat tegenover dat </w:t>
      </w:r>
      <w:r w:rsidR="00453760">
        <w:rPr>
          <w:rFonts w:ascii="Avenir Next LT Pro Light" w:hAnsi="Avenir Next LT Pro Light"/>
        </w:rPr>
        <w:t>dit beleid</w:t>
      </w:r>
      <w:r w:rsidRPr="0044473A">
        <w:rPr>
          <w:rFonts w:ascii="Avenir Next LT Pro Light" w:hAnsi="Avenir Next LT Pro Light"/>
        </w:rPr>
        <w:t xml:space="preserve"> laadpaalkleven aanmoedigt. Elektrisch</w:t>
      </w:r>
      <w:r w:rsidR="00453760">
        <w:rPr>
          <w:rFonts w:ascii="Avenir Next LT Pro Light" w:hAnsi="Avenir Next LT Pro Light"/>
        </w:rPr>
        <w:t>e</w:t>
      </w:r>
      <w:r w:rsidRPr="0044473A">
        <w:rPr>
          <w:rFonts w:ascii="Avenir Next LT Pro Light" w:hAnsi="Avenir Next LT Pro Light"/>
        </w:rPr>
        <w:t xml:space="preserve"> rijders kunnen er dan namelijk voor kiezen om een laadpunt bezet te houden enkel om een parkeertarief of een vergunningsverplichting te ontlopen. Gemeenten waar dergelijk stimulerend beleid is </w:t>
      </w:r>
      <w:r w:rsidR="00597102">
        <w:rPr>
          <w:rFonts w:ascii="Avenir Next LT Pro Light" w:hAnsi="Avenir Next LT Pro Light"/>
        </w:rPr>
        <w:t>ingevoerd</w:t>
      </w:r>
      <w:r w:rsidRPr="0044473A">
        <w:rPr>
          <w:rFonts w:ascii="Avenir Next LT Pro Light" w:hAnsi="Avenir Next LT Pro Light"/>
        </w:rPr>
        <w:t xml:space="preserve"> kennen </w:t>
      </w:r>
      <w:r w:rsidR="00597102">
        <w:rPr>
          <w:rFonts w:ascii="Avenir Next LT Pro Light" w:hAnsi="Avenir Next LT Pro Light"/>
        </w:rPr>
        <w:t>daardoor</w:t>
      </w:r>
      <w:r w:rsidRPr="0044473A">
        <w:rPr>
          <w:rFonts w:ascii="Avenir Next LT Pro Light" w:hAnsi="Avenir Next LT Pro Light"/>
        </w:rPr>
        <w:t xml:space="preserve"> langere gemiddelde connectietijden. Gemeenten met relatief lange connectietijden doen er goed aan om eerst dergelijk stimuleringsbeleid te evalueren, voordat aanvullend acties met betrekking tot lange laadsessies worden overwogen.</w:t>
      </w:r>
    </w:p>
    <w:p w14:paraId="53675B2F" w14:textId="4B6613E8" w:rsidR="00797BBC" w:rsidRPr="0044473A" w:rsidRDefault="00797BBC" w:rsidP="000131EB">
      <w:pPr>
        <w:pStyle w:val="Lijstalinea"/>
        <w:numPr>
          <w:ilvl w:val="0"/>
          <w:numId w:val="3"/>
        </w:numPr>
        <w:spacing w:line="276" w:lineRule="auto"/>
        <w:rPr>
          <w:rFonts w:ascii="Avenir Next LT Pro Light" w:hAnsi="Avenir Next LT Pro Light"/>
        </w:rPr>
      </w:pPr>
      <w:r w:rsidRPr="0044473A">
        <w:rPr>
          <w:rFonts w:ascii="Avenir Next LT Pro Light" w:hAnsi="Avenir Next LT Pro Light"/>
        </w:rPr>
        <w:t xml:space="preserve">Een boetetarief of connectietarief verhoogt de complexiteit van de beprijzing van het laden én verhoogt de kosten van elektrisch rijden. Naast het kWh-tarief </w:t>
      </w:r>
      <w:r w:rsidR="008F1B43">
        <w:rPr>
          <w:rFonts w:ascii="Avenir Next LT Pro Light" w:hAnsi="Avenir Next LT Pro Light"/>
        </w:rPr>
        <w:t xml:space="preserve">dat wordt gerekend door de </w:t>
      </w:r>
      <w:r w:rsidRPr="0044473A">
        <w:rPr>
          <w:rFonts w:ascii="Avenir Next LT Pro Light" w:hAnsi="Avenir Next LT Pro Light"/>
        </w:rPr>
        <w:t>CPO en een transactietarief</w:t>
      </w:r>
      <w:r w:rsidR="008F1B43">
        <w:rPr>
          <w:rFonts w:ascii="Avenir Next LT Pro Light" w:hAnsi="Avenir Next LT Pro Light"/>
        </w:rPr>
        <w:t xml:space="preserve"> door de Mobility Service Provider</w:t>
      </w:r>
      <w:r w:rsidRPr="0044473A">
        <w:rPr>
          <w:rFonts w:ascii="Avenir Next LT Pro Light" w:hAnsi="Avenir Next LT Pro Light"/>
        </w:rPr>
        <w:t xml:space="preserve"> (MSP) wordt een derde prijscomponent door de gemeente toegevoegd. De CPO incasseert het door de gemeente ingestelde parkeergeld.</w:t>
      </w:r>
    </w:p>
    <w:p w14:paraId="3F21F5DD" w14:textId="0D6FCE59" w:rsidR="00797BBC" w:rsidRPr="00A83964" w:rsidRDefault="00797BBC" w:rsidP="000131EB">
      <w:pPr>
        <w:spacing w:after="0" w:line="276" w:lineRule="auto"/>
        <w:rPr>
          <w:rFonts w:ascii="Avenir Next LT Pro Light" w:hAnsi="Avenir Next LT Pro Light"/>
        </w:rPr>
      </w:pPr>
      <w:r w:rsidRPr="0044473A">
        <w:rPr>
          <w:rFonts w:ascii="Avenir Next LT Pro Light" w:hAnsi="Avenir Next LT Pro Light"/>
        </w:rPr>
        <w:br/>
        <w:t xml:space="preserve">Omdat het aantal langdurige laadsessies </w:t>
      </w:r>
      <w:r w:rsidR="00C501D2" w:rsidRPr="0044473A">
        <w:rPr>
          <w:rFonts w:ascii="Avenir Next LT Pro Light" w:hAnsi="Avenir Next LT Pro Light"/>
        </w:rPr>
        <w:t>vaak niet gemeentebreed</w:t>
      </w:r>
      <w:r w:rsidRPr="0044473A">
        <w:rPr>
          <w:rFonts w:ascii="Avenir Next LT Pro Light" w:hAnsi="Avenir Next LT Pro Light"/>
        </w:rPr>
        <w:t xml:space="preserve"> een probleem vormt, biedt vraaggestuurd plaatsen (op basis van verzoek of laaddata) vaak een adequate oplossing. Bij lokale hoge bezettingsgraden kunnen dan nieuwe laadpunten in de buurt worden gerealiseerd en neemt zo de beschikbaarheid van laadinfrastructuur weer toe. </w:t>
      </w:r>
    </w:p>
    <w:p w14:paraId="14E1E652" w14:textId="77777777" w:rsidR="008C60E2" w:rsidRPr="000859B3" w:rsidRDefault="008C60E2" w:rsidP="000131EB">
      <w:pPr>
        <w:pStyle w:val="Kop2"/>
        <w:spacing w:line="276" w:lineRule="auto"/>
      </w:pPr>
      <w:bookmarkStart w:id="20" w:name="_Toc71287705"/>
      <w:r w:rsidRPr="000859B3">
        <w:lastRenderedPageBreak/>
        <w:t>Prijstransparantie</w:t>
      </w:r>
      <w:r w:rsidR="00874812">
        <w:t xml:space="preserve"> en informatievoorziening</w:t>
      </w:r>
      <w:bookmarkEnd w:id="20"/>
    </w:p>
    <w:p w14:paraId="17F8485C" w14:textId="77777777" w:rsidR="00F1088C" w:rsidRDefault="00974ADE" w:rsidP="000131EB">
      <w:pPr>
        <w:spacing w:after="0" w:line="276" w:lineRule="auto"/>
        <w:rPr>
          <w:rFonts w:ascii="Avenir Next LT Pro Light" w:hAnsi="Avenir Next LT Pro Light"/>
        </w:rPr>
      </w:pPr>
      <w:r w:rsidRPr="00974ADE">
        <w:rPr>
          <w:rFonts w:ascii="Avenir Next LT Pro Light" w:hAnsi="Avenir Next LT Pro Light"/>
          <w:i/>
          <w:iCs/>
        </w:rPr>
        <w:t>Prijstransparantie</w:t>
      </w:r>
      <w:r w:rsidRPr="00974ADE">
        <w:rPr>
          <w:rFonts w:ascii="Avenir Next LT Pro Light" w:hAnsi="Avenir Next LT Pro Light"/>
          <w:i/>
          <w:iCs/>
        </w:rPr>
        <w:br/>
      </w:r>
      <w:r w:rsidR="005E4FD5" w:rsidRPr="00A83964">
        <w:rPr>
          <w:rFonts w:ascii="Avenir Next LT Pro Light" w:hAnsi="Avenir Next LT Pro Light"/>
        </w:rPr>
        <w:t>Op dit moment hebben elektrische rijders nog onvoldoende inzicht in de locatie, de actuele beschikbaarheid van laadpunten en de kosten van het laden.</w:t>
      </w:r>
      <w:r w:rsidR="00F1088C">
        <w:rPr>
          <w:rFonts w:ascii="Avenir Next LT Pro Light" w:hAnsi="Avenir Next LT Pro Light"/>
        </w:rPr>
        <w:t xml:space="preserve"> Dit vormt een obstakel om over te stappen naar elektrisch rijden of om dat te blijven doen. </w:t>
      </w:r>
      <w:r w:rsidR="005E4FD5" w:rsidRPr="00A83964">
        <w:rPr>
          <w:rFonts w:ascii="Avenir Next LT Pro Light" w:hAnsi="Avenir Next LT Pro Light"/>
        </w:rPr>
        <w:t xml:space="preserve"> Onvoldoende transparantie kan </w:t>
      </w:r>
      <w:r w:rsidR="00F1088C">
        <w:rPr>
          <w:rFonts w:ascii="Avenir Next LT Pro Light" w:hAnsi="Avenir Next LT Pro Light"/>
        </w:rPr>
        <w:t xml:space="preserve">ook </w:t>
      </w:r>
      <w:r w:rsidR="005E4FD5" w:rsidRPr="00A83964">
        <w:rPr>
          <w:rFonts w:ascii="Avenir Next LT Pro Light" w:hAnsi="Avenir Next LT Pro Light"/>
        </w:rPr>
        <w:t xml:space="preserve">leiden tot een minder effectief gebruik van de (publieke) laadinfrastructuur en dus minder opbrengsten voor exploitanten. </w:t>
      </w:r>
    </w:p>
    <w:p w14:paraId="5DA620E9" w14:textId="77777777" w:rsidR="00F1088C" w:rsidRDefault="00F1088C" w:rsidP="000131EB">
      <w:pPr>
        <w:spacing w:after="0" w:line="276" w:lineRule="auto"/>
        <w:rPr>
          <w:rFonts w:ascii="Avenir Next LT Pro Light" w:hAnsi="Avenir Next LT Pro Light"/>
        </w:rPr>
      </w:pPr>
    </w:p>
    <w:p w14:paraId="394D92C2" w14:textId="31FF148C" w:rsidR="005E4FD5" w:rsidRDefault="00CB364A" w:rsidP="000131EB">
      <w:pPr>
        <w:spacing w:after="0" w:line="276" w:lineRule="auto"/>
        <w:rPr>
          <w:rFonts w:ascii="Avenir Next LT Pro Light" w:hAnsi="Avenir Next LT Pro Light"/>
        </w:rPr>
      </w:pPr>
      <w:r w:rsidRPr="00A83964">
        <w:rPr>
          <w:rFonts w:ascii="Avenir Next LT Pro Light" w:hAnsi="Avenir Next LT Pro Light"/>
        </w:rPr>
        <w:t xml:space="preserve">Daarnaast </w:t>
      </w:r>
      <w:r w:rsidR="00F1088C">
        <w:rPr>
          <w:rFonts w:ascii="Avenir Next LT Pro Light" w:hAnsi="Avenir Next LT Pro Light"/>
        </w:rPr>
        <w:t>is</w:t>
      </w:r>
      <w:r w:rsidR="0063529A">
        <w:rPr>
          <w:rFonts w:ascii="Avenir Next LT Pro Light" w:hAnsi="Avenir Next LT Pro Light"/>
        </w:rPr>
        <w:t xml:space="preserve"> </w:t>
      </w:r>
      <w:r w:rsidRPr="00A83964">
        <w:rPr>
          <w:rFonts w:ascii="Avenir Next LT Pro Light" w:hAnsi="Avenir Next LT Pro Light"/>
        </w:rPr>
        <w:t xml:space="preserve">prijstransparantie </w:t>
      </w:r>
      <w:r w:rsidR="00F1088C">
        <w:rPr>
          <w:rFonts w:ascii="Avenir Next LT Pro Light" w:hAnsi="Avenir Next LT Pro Light"/>
        </w:rPr>
        <w:t>van belang voor een</w:t>
      </w:r>
      <w:r w:rsidRPr="00A83964">
        <w:rPr>
          <w:rFonts w:ascii="Avenir Next LT Pro Light" w:hAnsi="Avenir Next LT Pro Light"/>
        </w:rPr>
        <w:t xml:space="preserve"> open markt waar</w:t>
      </w:r>
      <w:r w:rsidR="00F1088C">
        <w:rPr>
          <w:rFonts w:ascii="Avenir Next LT Pro Light" w:hAnsi="Avenir Next LT Pro Light"/>
        </w:rPr>
        <w:t xml:space="preserve">in er </w:t>
      </w:r>
      <w:r w:rsidRPr="00A83964">
        <w:rPr>
          <w:rFonts w:ascii="Avenir Next LT Pro Light" w:hAnsi="Avenir Next LT Pro Light"/>
        </w:rPr>
        <w:t>eerlijke concurrentie</w:t>
      </w:r>
      <w:r w:rsidR="00F1088C">
        <w:rPr>
          <w:rFonts w:ascii="Avenir Next LT Pro Light" w:hAnsi="Avenir Next LT Pro Light"/>
        </w:rPr>
        <w:t xml:space="preserve"> tussen bedrijven is</w:t>
      </w:r>
      <w:r w:rsidRPr="00A83964">
        <w:rPr>
          <w:rFonts w:ascii="Avenir Next LT Pro Light" w:hAnsi="Avenir Next LT Pro Light"/>
        </w:rPr>
        <w:t xml:space="preserve"> Ook dit kan leiden tot lagere prijzen voor de consumenten en tegelijkertijd een hogere kwaliteit van het product.</w:t>
      </w:r>
      <w:r w:rsidR="00AB2B06">
        <w:rPr>
          <w:rFonts w:ascii="Avenir Next LT Pro Light" w:hAnsi="Avenir Next LT Pro Light"/>
        </w:rPr>
        <w:t xml:space="preserve"> </w:t>
      </w:r>
      <w:r w:rsidR="00FB39F1" w:rsidRPr="00B5468F">
        <w:rPr>
          <w:rFonts w:ascii="Avenir Next LT Pro Light" w:hAnsi="Avenir Next LT Pro Light"/>
        </w:rPr>
        <w:t xml:space="preserve">In figuur </w:t>
      </w:r>
      <w:r w:rsidR="00B5468F" w:rsidRPr="00B5468F">
        <w:rPr>
          <w:rFonts w:ascii="Avenir Next LT Pro Light" w:hAnsi="Avenir Next LT Pro Light"/>
        </w:rPr>
        <w:t>4.</w:t>
      </w:r>
      <w:r w:rsidR="00B5468F">
        <w:rPr>
          <w:rFonts w:ascii="Avenir Next LT Pro Light" w:hAnsi="Avenir Next LT Pro Light"/>
        </w:rPr>
        <w:t>1</w:t>
      </w:r>
      <w:r w:rsidR="00FB39F1" w:rsidRPr="00A83964">
        <w:rPr>
          <w:rFonts w:ascii="Avenir Next LT Pro Light" w:hAnsi="Avenir Next LT Pro Light"/>
        </w:rPr>
        <w:t xml:space="preserve"> is weergeven hoe je prijstransparantie in de praktijk kunt toepassen.   </w:t>
      </w:r>
    </w:p>
    <w:p w14:paraId="7003F471" w14:textId="77777777" w:rsidR="00874812" w:rsidRDefault="00874812" w:rsidP="000131EB">
      <w:pPr>
        <w:spacing w:after="0" w:line="276" w:lineRule="auto"/>
        <w:rPr>
          <w:rFonts w:ascii="Avenir Next LT Pro Light" w:hAnsi="Avenir Next LT Pro Light"/>
        </w:rPr>
      </w:pPr>
    </w:p>
    <w:p w14:paraId="62C57654" w14:textId="2BB73F85" w:rsidR="00874812" w:rsidRDefault="00874812" w:rsidP="000131EB">
      <w:pPr>
        <w:spacing w:after="0" w:line="276" w:lineRule="auto"/>
        <w:rPr>
          <w:rFonts w:ascii="Avenir Next LT Pro Light" w:hAnsi="Avenir Next LT Pro Light"/>
        </w:rPr>
      </w:pPr>
      <w:r>
        <w:rPr>
          <w:rFonts w:ascii="Avenir Next LT Pro Light" w:hAnsi="Avenir Next LT Pro Light"/>
        </w:rPr>
        <w:t xml:space="preserve">Nauw verwant aan prijstransparantie is de </w:t>
      </w:r>
      <w:r w:rsidR="00362D8C">
        <w:rPr>
          <w:rFonts w:ascii="Avenir Next LT Pro Light" w:hAnsi="Avenir Next LT Pro Light"/>
        </w:rPr>
        <w:t>informatievoorziening</w:t>
      </w:r>
      <w:r>
        <w:rPr>
          <w:rFonts w:ascii="Avenir Next LT Pro Light" w:hAnsi="Avenir Next LT Pro Light"/>
        </w:rPr>
        <w:t xml:space="preserve"> over (openbare) laadpalen. De publieke informatie in apps, websites of </w:t>
      </w:r>
      <w:r w:rsidR="00362D8C">
        <w:rPr>
          <w:rFonts w:ascii="Avenir Next LT Pro Light" w:hAnsi="Avenir Next LT Pro Light"/>
        </w:rPr>
        <w:t>navigatiesystemen</w:t>
      </w:r>
      <w:r>
        <w:rPr>
          <w:rFonts w:ascii="Avenir Next LT Pro Light" w:hAnsi="Avenir Next LT Pro Light"/>
        </w:rPr>
        <w:t xml:space="preserve"> over waar de laadpalen staan, wie ze beheert, de laadsnelheid en beschikbaarheid is vaak nog inaccuraat en gedateerd. </w:t>
      </w:r>
    </w:p>
    <w:p w14:paraId="4C596848" w14:textId="77777777" w:rsidR="00AB2B06" w:rsidRPr="00A83964" w:rsidRDefault="00AB2B06" w:rsidP="000131EB">
      <w:pPr>
        <w:spacing w:after="0" w:line="276" w:lineRule="auto"/>
        <w:rPr>
          <w:rFonts w:ascii="Avenir Next LT Pro Light" w:hAnsi="Avenir Next LT Pro Light"/>
        </w:rPr>
      </w:pPr>
    </w:p>
    <w:p w14:paraId="1D025DFC" w14:textId="77777777" w:rsidR="00EC20DF" w:rsidRDefault="00880C7A" w:rsidP="000131EB">
      <w:pPr>
        <w:keepNext/>
        <w:spacing w:after="0" w:line="276" w:lineRule="auto"/>
      </w:pPr>
      <w:r w:rsidRPr="00A83964">
        <w:rPr>
          <w:rFonts w:ascii="Avenir Next LT Pro Light" w:hAnsi="Avenir Next LT Pro Light"/>
          <w:noProof/>
          <w:lang w:eastAsia="nl-NL"/>
        </w:rPr>
        <w:drawing>
          <wp:inline distT="0" distB="0" distL="0" distR="0" wp14:anchorId="7393EA4E" wp14:editId="0C90B4A4">
            <wp:extent cx="3302635" cy="4090112"/>
            <wp:effectExtent l="0" t="0" r="0" b="571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657"/>
                    <a:stretch/>
                  </pic:blipFill>
                  <pic:spPr bwMode="auto">
                    <a:xfrm>
                      <a:off x="0" y="0"/>
                      <a:ext cx="3303109" cy="4090699"/>
                    </a:xfrm>
                    <a:prstGeom prst="rect">
                      <a:avLst/>
                    </a:prstGeom>
                    <a:ln>
                      <a:noFill/>
                    </a:ln>
                    <a:extLst>
                      <a:ext uri="{53640926-AAD7-44D8-BBD7-CCE9431645EC}">
                        <a14:shadowObscured xmlns:a14="http://schemas.microsoft.com/office/drawing/2010/main"/>
                      </a:ext>
                    </a:extLst>
                  </pic:spPr>
                </pic:pic>
              </a:graphicData>
            </a:graphic>
          </wp:inline>
        </w:drawing>
      </w:r>
    </w:p>
    <w:p w14:paraId="7EDC5F7D" w14:textId="4F039375" w:rsidR="00EC20DF" w:rsidRDefault="00EC20DF" w:rsidP="000131EB">
      <w:pPr>
        <w:pStyle w:val="Bijschrift"/>
        <w:spacing w:line="276" w:lineRule="auto"/>
        <w:rPr>
          <w:rFonts w:ascii="Avenir Next LT Pro Light" w:hAnsi="Avenir Next LT Pro Light"/>
          <w:color w:val="auto"/>
        </w:rPr>
      </w:pPr>
      <w:r w:rsidRPr="00EC20DF">
        <w:rPr>
          <w:rFonts w:ascii="Avenir Next LT Pro Light" w:hAnsi="Avenir Next LT Pro Light"/>
          <w:color w:val="auto"/>
        </w:rPr>
        <w:t xml:space="preserve">Figuur </w:t>
      </w:r>
      <w:r w:rsidRPr="00EC20DF">
        <w:rPr>
          <w:rFonts w:ascii="Avenir Next LT Pro Light" w:hAnsi="Avenir Next LT Pro Light"/>
          <w:color w:val="auto"/>
        </w:rPr>
        <w:fldChar w:fldCharType="begin"/>
      </w:r>
      <w:r w:rsidRPr="00EC20DF">
        <w:rPr>
          <w:rFonts w:ascii="Avenir Next LT Pro Light" w:hAnsi="Avenir Next LT Pro Light"/>
          <w:color w:val="auto"/>
        </w:rPr>
        <w:instrText xml:space="preserve"> STYLEREF 1 \s </w:instrText>
      </w:r>
      <w:r w:rsidRPr="00EC20DF">
        <w:rPr>
          <w:rFonts w:ascii="Avenir Next LT Pro Light" w:hAnsi="Avenir Next LT Pro Light"/>
          <w:color w:val="auto"/>
        </w:rPr>
        <w:fldChar w:fldCharType="separate"/>
      </w:r>
      <w:r w:rsidR="00677C1D">
        <w:rPr>
          <w:rFonts w:ascii="Avenir Next LT Pro Light" w:hAnsi="Avenir Next LT Pro Light"/>
          <w:noProof/>
          <w:color w:val="auto"/>
        </w:rPr>
        <w:t>4</w:t>
      </w:r>
      <w:r w:rsidRPr="00EC20DF">
        <w:rPr>
          <w:rFonts w:ascii="Avenir Next LT Pro Light" w:hAnsi="Avenir Next LT Pro Light"/>
          <w:color w:val="auto"/>
        </w:rPr>
        <w:fldChar w:fldCharType="end"/>
      </w:r>
      <w:r w:rsidRPr="00EC20DF">
        <w:rPr>
          <w:rFonts w:ascii="Avenir Next LT Pro Light" w:hAnsi="Avenir Next LT Pro Light"/>
          <w:color w:val="auto"/>
        </w:rPr>
        <w:noBreakHyphen/>
      </w:r>
      <w:r w:rsidRPr="00EC20DF">
        <w:rPr>
          <w:rFonts w:ascii="Avenir Next LT Pro Light" w:hAnsi="Avenir Next LT Pro Light"/>
          <w:color w:val="auto"/>
        </w:rPr>
        <w:fldChar w:fldCharType="begin"/>
      </w:r>
      <w:r w:rsidRPr="00EC20DF">
        <w:rPr>
          <w:rFonts w:ascii="Avenir Next LT Pro Light" w:hAnsi="Avenir Next LT Pro Light"/>
          <w:color w:val="auto"/>
        </w:rPr>
        <w:instrText xml:space="preserve"> SEQ Figuur \* ARABIC \s 1 </w:instrText>
      </w:r>
      <w:r w:rsidRPr="00EC20DF">
        <w:rPr>
          <w:rFonts w:ascii="Avenir Next LT Pro Light" w:hAnsi="Avenir Next LT Pro Light"/>
          <w:color w:val="auto"/>
        </w:rPr>
        <w:fldChar w:fldCharType="separate"/>
      </w:r>
      <w:r w:rsidR="00677C1D">
        <w:rPr>
          <w:rFonts w:ascii="Avenir Next LT Pro Light" w:hAnsi="Avenir Next LT Pro Light"/>
          <w:noProof/>
          <w:color w:val="auto"/>
        </w:rPr>
        <w:t>1</w:t>
      </w:r>
      <w:r w:rsidRPr="00EC20DF">
        <w:rPr>
          <w:rFonts w:ascii="Avenir Next LT Pro Light" w:hAnsi="Avenir Next LT Pro Light"/>
          <w:color w:val="auto"/>
        </w:rPr>
        <w:fldChar w:fldCharType="end"/>
      </w:r>
      <w:r w:rsidRPr="00EC20DF">
        <w:rPr>
          <w:rFonts w:ascii="Avenir Next LT Pro Light" w:hAnsi="Avenir Next LT Pro Light"/>
          <w:color w:val="auto"/>
        </w:rPr>
        <w:t xml:space="preserve"> Definitie prijstransparantie (bron: EVconsult &amp; CE Delft  (2020). </w:t>
      </w:r>
    </w:p>
    <w:p w14:paraId="67484188" w14:textId="77777777" w:rsidR="00AB2B06" w:rsidRDefault="00AB2B06" w:rsidP="000131EB">
      <w:pPr>
        <w:pStyle w:val="Kop2"/>
        <w:spacing w:line="276" w:lineRule="auto"/>
      </w:pPr>
      <w:bookmarkStart w:id="21" w:name="_Toc71287706"/>
      <w:r>
        <w:lastRenderedPageBreak/>
        <w:t>Open markten en protocollen</w:t>
      </w:r>
      <w:bookmarkEnd w:id="21"/>
    </w:p>
    <w:p w14:paraId="5A06F9D0" w14:textId="21C40B10" w:rsidR="00EC20DF" w:rsidRDefault="005E4FD5" w:rsidP="000131EB">
      <w:pPr>
        <w:spacing w:after="0" w:line="276" w:lineRule="auto"/>
        <w:rPr>
          <w:rFonts w:ascii="Avenir Next LT Pro Light" w:hAnsi="Avenir Next LT Pro Light"/>
        </w:rPr>
      </w:pPr>
      <w:r w:rsidRPr="00A83964">
        <w:rPr>
          <w:rFonts w:ascii="Avenir Next LT Pro Light" w:hAnsi="Avenir Next LT Pro Light"/>
        </w:rPr>
        <w:t xml:space="preserve">Ook open markten en protocollen dragen bij aan lagere prijzen en een grotere diversiteit aan innovaties en oplossingen. Er is sprake van een open markt wanneer barrières voor nieuwe toetreders worden vermeden, alle marktpartijen gelijk worden behandeld en dominantie van één of enkele partijen vermeden wordt. Bij open protocollen gaat het om standaarden die voor iedereen inzichtelijk en bruikbaar zijn om onder andere de interoperabiliteit te verbeteren. </w:t>
      </w:r>
      <w:r w:rsidR="00874812">
        <w:rPr>
          <w:rFonts w:ascii="Avenir Next LT Pro Light" w:hAnsi="Avenir Next LT Pro Light"/>
        </w:rPr>
        <w:t>MRA-Elektrisch gaat in samenwerking met partijen en in contracte</w:t>
      </w:r>
      <w:r w:rsidR="00362D8C">
        <w:rPr>
          <w:rFonts w:ascii="Avenir Next LT Pro Light" w:hAnsi="Avenir Next LT Pro Light"/>
        </w:rPr>
        <w:t>n</w:t>
      </w:r>
      <w:r w:rsidR="00874812">
        <w:rPr>
          <w:rFonts w:ascii="Avenir Next LT Pro Light" w:hAnsi="Avenir Next LT Pro Light"/>
        </w:rPr>
        <w:t xml:space="preserve"> altijd zoveel mogelijk uit van interoperabiliteit, open protocollen en open markten</w:t>
      </w:r>
      <w:r w:rsidR="00D13CFE">
        <w:rPr>
          <w:rFonts w:ascii="Avenir Next LT Pro Light" w:hAnsi="Avenir Next LT Pro Light"/>
        </w:rPr>
        <w:t>.</w:t>
      </w:r>
    </w:p>
    <w:p w14:paraId="58AA809F" w14:textId="77777777" w:rsidR="00EC20DF" w:rsidRDefault="00EC20DF" w:rsidP="000131EB">
      <w:pPr>
        <w:pStyle w:val="Kop2"/>
        <w:spacing w:line="276" w:lineRule="auto"/>
      </w:pPr>
      <w:bookmarkStart w:id="22" w:name="_Toc71287707"/>
      <w:r>
        <w:t>Borging en stimulering op regionaal niveau</w:t>
      </w:r>
      <w:bookmarkEnd w:id="22"/>
      <w:r>
        <w:t xml:space="preserve"> </w:t>
      </w:r>
    </w:p>
    <w:p w14:paraId="2015285C" w14:textId="77777777" w:rsidR="00EC20DF" w:rsidRDefault="00EC20DF" w:rsidP="000131EB">
      <w:pPr>
        <w:spacing w:after="0" w:line="276" w:lineRule="auto"/>
        <w:rPr>
          <w:rFonts w:ascii="Avenir Next LT Pro Light" w:hAnsi="Avenir Next LT Pro Light"/>
        </w:rPr>
      </w:pPr>
      <w:r>
        <w:rPr>
          <w:rFonts w:ascii="Avenir Next LT Pro Light" w:hAnsi="Avenir Next LT Pro Light"/>
        </w:rPr>
        <w:t xml:space="preserve">Om deze voorwaarden te realiseren zet MRA-E zich op verschillende manieren in: </w:t>
      </w:r>
    </w:p>
    <w:p w14:paraId="66BA07AB" w14:textId="77777777" w:rsidR="00EC20DF" w:rsidRDefault="00EC20DF" w:rsidP="000131EB">
      <w:pPr>
        <w:pStyle w:val="Lijstalinea"/>
        <w:numPr>
          <w:ilvl w:val="0"/>
          <w:numId w:val="31"/>
        </w:numPr>
        <w:spacing w:line="276" w:lineRule="auto"/>
        <w:rPr>
          <w:rFonts w:ascii="Avenir Next LT Pro Light" w:hAnsi="Avenir Next LT Pro Light"/>
        </w:rPr>
      </w:pPr>
      <w:r>
        <w:rPr>
          <w:rFonts w:ascii="Avenir Next LT Pro Light" w:hAnsi="Avenir Next LT Pro Light"/>
        </w:rPr>
        <w:t>MRA-E besteedt in haar concessies en contractmanagement aandacht aan prijstransparantie</w:t>
      </w:r>
      <w:r w:rsidR="00F40C27">
        <w:rPr>
          <w:rFonts w:ascii="Avenir Next LT Pro Light" w:hAnsi="Avenir Next LT Pro Light"/>
        </w:rPr>
        <w:t>, open protocollen en open markten</w:t>
      </w:r>
      <w:r>
        <w:rPr>
          <w:rFonts w:ascii="Avenir Next LT Pro Light" w:hAnsi="Avenir Next LT Pro Light"/>
        </w:rPr>
        <w:t xml:space="preserve"> door bepaalde voorwaarden op te nemen.</w:t>
      </w:r>
    </w:p>
    <w:p w14:paraId="09C51872" w14:textId="386D8118" w:rsidR="00EC20DF" w:rsidRPr="009442A9" w:rsidRDefault="00EC20DF" w:rsidP="000131EB">
      <w:pPr>
        <w:pStyle w:val="Lijstalinea"/>
        <w:numPr>
          <w:ilvl w:val="0"/>
          <w:numId w:val="31"/>
        </w:numPr>
        <w:spacing w:line="276" w:lineRule="auto"/>
        <w:rPr>
          <w:rFonts w:ascii="Avenir Next LT Pro Light" w:hAnsi="Avenir Next LT Pro Light"/>
        </w:rPr>
      </w:pPr>
      <w:r w:rsidRPr="00974ADE">
        <w:rPr>
          <w:rFonts w:ascii="Avenir Next LT Pro Light" w:hAnsi="Avenir Next LT Pro Light"/>
        </w:rPr>
        <w:t>MRA-Elektrisch zet samen met de G4</w:t>
      </w:r>
      <w:r w:rsidR="002C10C3">
        <w:rPr>
          <w:rFonts w:ascii="Avenir Next LT Pro Light" w:hAnsi="Avenir Next LT Pro Light"/>
        </w:rPr>
        <w:t>-steden</w:t>
      </w:r>
      <w:r w:rsidRPr="00974ADE">
        <w:rPr>
          <w:rFonts w:ascii="Avenir Next LT Pro Light" w:hAnsi="Avenir Next LT Pro Light"/>
        </w:rPr>
        <w:t xml:space="preserve"> een openbare datahub op waarin alle benodigde gegevens samengebracht worden en beschikbaar gemaakt worden in een demo-app. Dit instrument heeft als doel </w:t>
      </w:r>
      <w:r w:rsidR="00F40C27">
        <w:rPr>
          <w:rFonts w:ascii="Avenir Next LT Pro Light" w:hAnsi="Avenir Next LT Pro Light"/>
        </w:rPr>
        <w:t xml:space="preserve">om informatievoorziening en </w:t>
      </w:r>
      <w:r w:rsidRPr="00974ADE">
        <w:rPr>
          <w:rFonts w:ascii="Avenir Next LT Pro Light" w:hAnsi="Avenir Next LT Pro Light"/>
        </w:rPr>
        <w:t xml:space="preserve">prijstransparantie direct te verhogen. </w:t>
      </w:r>
    </w:p>
    <w:p w14:paraId="69478169" w14:textId="77777777" w:rsidR="00EC20DF" w:rsidRDefault="00EC20DF" w:rsidP="000131EB">
      <w:pPr>
        <w:spacing w:line="276" w:lineRule="auto"/>
        <w:rPr>
          <w:rFonts w:ascii="Avenir Next LT Pro Light" w:hAnsi="Avenir Next LT Pro Light"/>
        </w:rPr>
      </w:pPr>
    </w:p>
    <w:p w14:paraId="773C9B97" w14:textId="77777777" w:rsidR="00EC20DF" w:rsidRPr="00EC20DF" w:rsidRDefault="00EC20DF" w:rsidP="000131EB">
      <w:pPr>
        <w:spacing w:line="276" w:lineRule="auto"/>
        <w:rPr>
          <w:rFonts w:ascii="Avenir Next LT Pro Light" w:hAnsi="Avenir Next LT Pro Light"/>
        </w:rPr>
      </w:pPr>
      <w:r>
        <w:rPr>
          <w:rFonts w:ascii="Avenir Next LT Pro Light" w:hAnsi="Avenir Next LT Pro Light"/>
        </w:rPr>
        <w:t xml:space="preserve">Ook als gemeenten niet aangesloten zijn bij een gezamenlijke aanbesteding kunnen zij zelf  deze voorwaarden borgen in contracten, vergunningen, individuele concessies, etc. </w:t>
      </w:r>
    </w:p>
    <w:p w14:paraId="6B29F91F" w14:textId="77777777" w:rsidR="00EC20DF" w:rsidRDefault="00EC20DF" w:rsidP="000131EB">
      <w:pPr>
        <w:spacing w:after="0" w:line="276" w:lineRule="auto"/>
        <w:rPr>
          <w:rFonts w:ascii="Avenir Next LT Pro Light" w:hAnsi="Avenir Next LT Pro Light"/>
        </w:rPr>
      </w:pPr>
    </w:p>
    <w:p w14:paraId="44471179" w14:textId="77777777" w:rsidR="0076470C" w:rsidRPr="00A83964" w:rsidRDefault="00F34211" w:rsidP="000131EB">
      <w:pPr>
        <w:pStyle w:val="Kop1"/>
        <w:numPr>
          <w:ilvl w:val="0"/>
          <w:numId w:val="0"/>
        </w:numPr>
        <w:spacing w:after="0" w:line="276" w:lineRule="auto"/>
        <w:ind w:left="680" w:hanging="680"/>
        <w:rPr>
          <w:rFonts w:ascii="Avenir Next LT Pro Light" w:hAnsi="Avenir Next LT Pro Light"/>
        </w:rPr>
      </w:pPr>
      <w:bookmarkStart w:id="23" w:name="_Toc51153922"/>
      <w:bookmarkStart w:id="24" w:name="_Toc71287708"/>
      <w:r w:rsidRPr="00A83964">
        <w:rPr>
          <w:rFonts w:ascii="Avenir Next LT Pro Light" w:hAnsi="Avenir Next LT Pro Light"/>
        </w:rPr>
        <w:lastRenderedPageBreak/>
        <w:t>Bijlage 1. Prognose publieke laadpunten per gemeente</w:t>
      </w:r>
      <w:bookmarkEnd w:id="23"/>
      <w:bookmarkEnd w:id="24"/>
    </w:p>
    <w:p w14:paraId="7576287E" w14:textId="77777777" w:rsidR="00F34211" w:rsidRDefault="00F34211" w:rsidP="000131EB">
      <w:pPr>
        <w:tabs>
          <w:tab w:val="right" w:pos="8505"/>
        </w:tabs>
        <w:spacing w:after="0" w:line="276" w:lineRule="auto"/>
        <w:rPr>
          <w:rFonts w:ascii="Avenir Next LT Pro Light" w:hAnsi="Avenir Next LT Pro Light"/>
        </w:rPr>
      </w:pPr>
      <w:r w:rsidRPr="00A83964">
        <w:rPr>
          <w:rFonts w:ascii="Avenir Next LT Pro Light" w:hAnsi="Avenir Next LT Pro Light"/>
          <w:noProof/>
          <w:lang w:eastAsia="nl-NL"/>
        </w:rPr>
        <w:drawing>
          <wp:inline distT="0" distB="0" distL="0" distR="0" wp14:anchorId="266EA643" wp14:editId="7DED1208">
            <wp:extent cx="4695825" cy="70294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95825" cy="7029450"/>
                    </a:xfrm>
                    <a:prstGeom prst="rect">
                      <a:avLst/>
                    </a:prstGeom>
                  </pic:spPr>
                </pic:pic>
              </a:graphicData>
            </a:graphic>
          </wp:inline>
        </w:drawing>
      </w:r>
      <w:bookmarkEnd w:id="0"/>
      <w:r w:rsidR="0046207D" w:rsidRPr="00A83964">
        <w:rPr>
          <w:rFonts w:ascii="Avenir Next LT Pro Light" w:hAnsi="Avenir Next LT Pro Light"/>
        </w:rPr>
        <w:tab/>
      </w:r>
    </w:p>
    <w:p w14:paraId="50FC6C4C" w14:textId="77777777" w:rsidR="006A685A" w:rsidRPr="006A685A" w:rsidRDefault="006A685A" w:rsidP="000131EB">
      <w:pPr>
        <w:tabs>
          <w:tab w:val="right" w:pos="8505"/>
        </w:tabs>
        <w:spacing w:after="0" w:line="276" w:lineRule="auto"/>
        <w:rPr>
          <w:rFonts w:ascii="Avenir Next LT Pro Light" w:hAnsi="Avenir Next LT Pro Light"/>
          <w:sz w:val="18"/>
          <w:szCs w:val="20"/>
        </w:rPr>
      </w:pPr>
      <w:r w:rsidRPr="006A685A">
        <w:rPr>
          <w:rFonts w:ascii="Avenir Next LT Pro Light" w:hAnsi="Avenir Next LT Pro Light"/>
          <w:sz w:val="18"/>
          <w:szCs w:val="20"/>
        </w:rPr>
        <w:t>Bron: MRA-E, maart 2020</w:t>
      </w:r>
    </w:p>
    <w:p w14:paraId="7ED389A1" w14:textId="77777777" w:rsidR="0046207D" w:rsidRPr="00D22914" w:rsidRDefault="0046207D" w:rsidP="000131EB">
      <w:pPr>
        <w:pStyle w:val="Kop1"/>
        <w:numPr>
          <w:ilvl w:val="0"/>
          <w:numId w:val="0"/>
        </w:numPr>
        <w:spacing w:after="0" w:line="276" w:lineRule="auto"/>
        <w:rPr>
          <w:rFonts w:ascii="Avenir Next LT Pro Light" w:hAnsi="Avenir Next LT Pro Light"/>
        </w:rPr>
      </w:pPr>
      <w:bookmarkStart w:id="25" w:name="_Toc71287709"/>
      <w:r w:rsidRPr="00A83964">
        <w:rPr>
          <w:rFonts w:ascii="Avenir Next LT Pro Light" w:hAnsi="Avenir Next LT Pro Light"/>
        </w:rPr>
        <w:lastRenderedPageBreak/>
        <w:t xml:space="preserve">Bijlage 2. </w:t>
      </w:r>
      <w:r w:rsidRPr="00D22914">
        <w:rPr>
          <w:rFonts w:ascii="Avenir Next LT Pro Light" w:hAnsi="Avenir Next LT Pro Light"/>
        </w:rPr>
        <w:t>Prognose private</w:t>
      </w:r>
      <w:r w:rsidR="00B5468F" w:rsidRPr="00D22914">
        <w:rPr>
          <w:rFonts w:ascii="Avenir Next LT Pro Light" w:hAnsi="Avenir Next LT Pro Light"/>
        </w:rPr>
        <w:t xml:space="preserve"> en semi-publieke</w:t>
      </w:r>
      <w:r w:rsidRPr="00D22914">
        <w:rPr>
          <w:rFonts w:ascii="Avenir Next LT Pro Light" w:hAnsi="Avenir Next LT Pro Light"/>
        </w:rPr>
        <w:t xml:space="preserve"> laadpunten per gemeente</w:t>
      </w:r>
      <w:bookmarkEnd w:id="25"/>
    </w:p>
    <w:tbl>
      <w:tblPr>
        <w:tblW w:w="8420" w:type="dxa"/>
        <w:tblCellMar>
          <w:left w:w="70" w:type="dxa"/>
          <w:right w:w="70" w:type="dxa"/>
        </w:tblCellMar>
        <w:tblLook w:val="04A0" w:firstRow="1" w:lastRow="0" w:firstColumn="1" w:lastColumn="0" w:noHBand="0" w:noVBand="1"/>
      </w:tblPr>
      <w:tblGrid>
        <w:gridCol w:w="2120"/>
        <w:gridCol w:w="1500"/>
        <w:gridCol w:w="1180"/>
        <w:gridCol w:w="764"/>
        <w:gridCol w:w="861"/>
        <w:gridCol w:w="983"/>
        <w:gridCol w:w="1012"/>
      </w:tblGrid>
      <w:tr w:rsidR="003F1C37" w:rsidRPr="003F1C37" w14:paraId="6136F85B" w14:textId="77777777" w:rsidTr="003F1C37">
        <w:trPr>
          <w:trHeight w:val="585"/>
        </w:trPr>
        <w:tc>
          <w:tcPr>
            <w:tcW w:w="2120" w:type="dxa"/>
            <w:vMerge w:val="restart"/>
            <w:tcBorders>
              <w:top w:val="nil"/>
              <w:left w:val="nil"/>
              <w:bottom w:val="single" w:sz="4" w:space="0" w:color="000000"/>
              <w:right w:val="nil"/>
            </w:tcBorders>
            <w:shd w:val="clear" w:color="000000" w:fill="BDD7EE"/>
            <w:noWrap/>
            <w:vAlign w:val="bottom"/>
            <w:hideMark/>
          </w:tcPr>
          <w:p w14:paraId="1453E685" w14:textId="77777777" w:rsidR="003F1C37" w:rsidRPr="003F1C37" w:rsidRDefault="003F1C37" w:rsidP="000131EB">
            <w:pPr>
              <w:spacing w:after="0" w:line="276" w:lineRule="auto"/>
              <w:jc w:val="center"/>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Gemeente</w:t>
            </w:r>
          </w:p>
        </w:tc>
        <w:tc>
          <w:tcPr>
            <w:tcW w:w="1500" w:type="dxa"/>
            <w:vMerge w:val="restart"/>
            <w:tcBorders>
              <w:top w:val="nil"/>
              <w:left w:val="nil"/>
              <w:bottom w:val="single" w:sz="4" w:space="0" w:color="000000"/>
              <w:right w:val="nil"/>
            </w:tcBorders>
            <w:shd w:val="clear" w:color="000000" w:fill="BDD7EE"/>
            <w:noWrap/>
            <w:vAlign w:val="bottom"/>
            <w:hideMark/>
          </w:tcPr>
          <w:p w14:paraId="71BF27B2" w14:textId="77777777" w:rsidR="003F1C37" w:rsidRPr="003F1C37" w:rsidRDefault="003F1C37" w:rsidP="000131EB">
            <w:pPr>
              <w:spacing w:after="0" w:line="276" w:lineRule="auto"/>
              <w:jc w:val="center"/>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Provincie</w:t>
            </w:r>
          </w:p>
        </w:tc>
        <w:tc>
          <w:tcPr>
            <w:tcW w:w="1180" w:type="dxa"/>
            <w:vMerge w:val="restart"/>
            <w:tcBorders>
              <w:top w:val="nil"/>
              <w:left w:val="nil"/>
              <w:bottom w:val="single" w:sz="4" w:space="0" w:color="000000"/>
              <w:right w:val="nil"/>
            </w:tcBorders>
            <w:shd w:val="clear" w:color="000000" w:fill="BDD7EE"/>
            <w:vAlign w:val="bottom"/>
            <w:hideMark/>
          </w:tcPr>
          <w:p w14:paraId="4D62DE62" w14:textId="77777777" w:rsidR="003F1C37" w:rsidRPr="003F1C37" w:rsidRDefault="003F1C37" w:rsidP="000131EB">
            <w:pPr>
              <w:spacing w:after="0" w:line="276" w:lineRule="auto"/>
              <w:jc w:val="center"/>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Aantal inwoners &gt;20jr (CBS)</w:t>
            </w:r>
          </w:p>
        </w:tc>
        <w:tc>
          <w:tcPr>
            <w:tcW w:w="700" w:type="dxa"/>
            <w:vMerge w:val="restart"/>
            <w:tcBorders>
              <w:top w:val="nil"/>
              <w:left w:val="nil"/>
              <w:bottom w:val="single" w:sz="4" w:space="0" w:color="000000"/>
              <w:right w:val="single" w:sz="4" w:space="0" w:color="auto"/>
            </w:tcBorders>
            <w:shd w:val="clear" w:color="000000" w:fill="BDD7EE"/>
            <w:vAlign w:val="center"/>
            <w:hideMark/>
          </w:tcPr>
          <w:p w14:paraId="64FA4638" w14:textId="77777777" w:rsidR="003F1C37" w:rsidRPr="003F1C37" w:rsidRDefault="003F1C37" w:rsidP="000131EB">
            <w:pPr>
              <w:spacing w:after="0" w:line="276" w:lineRule="auto"/>
              <w:jc w:val="center"/>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w:t>
            </w:r>
          </w:p>
        </w:tc>
        <w:tc>
          <w:tcPr>
            <w:tcW w:w="2920" w:type="dxa"/>
            <w:gridSpan w:val="3"/>
            <w:tcBorders>
              <w:top w:val="nil"/>
              <w:left w:val="nil"/>
              <w:bottom w:val="nil"/>
              <w:right w:val="single" w:sz="4" w:space="0" w:color="000000"/>
            </w:tcBorders>
            <w:shd w:val="clear" w:color="000000" w:fill="BDD7EE"/>
            <w:vAlign w:val="center"/>
            <w:hideMark/>
          </w:tcPr>
          <w:p w14:paraId="7064AC68" w14:textId="77777777" w:rsidR="003F1C37" w:rsidRPr="003F1C37" w:rsidRDefault="003F1C37" w:rsidP="000131EB">
            <w:pPr>
              <w:spacing w:after="0" w:line="276" w:lineRule="auto"/>
              <w:jc w:val="center"/>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Aantal private en semi-publieke laadpunten</w:t>
            </w:r>
          </w:p>
        </w:tc>
      </w:tr>
      <w:tr w:rsidR="003F1C37" w:rsidRPr="003F1C37" w14:paraId="13030275" w14:textId="77777777" w:rsidTr="003F1C37">
        <w:trPr>
          <w:trHeight w:val="540"/>
        </w:trPr>
        <w:tc>
          <w:tcPr>
            <w:tcW w:w="2120" w:type="dxa"/>
            <w:vMerge/>
            <w:tcBorders>
              <w:top w:val="nil"/>
              <w:left w:val="nil"/>
              <w:bottom w:val="single" w:sz="4" w:space="0" w:color="000000"/>
              <w:right w:val="nil"/>
            </w:tcBorders>
            <w:vAlign w:val="center"/>
            <w:hideMark/>
          </w:tcPr>
          <w:p w14:paraId="14E2AE87" w14:textId="77777777" w:rsidR="003F1C37" w:rsidRPr="003F1C37" w:rsidRDefault="003F1C37" w:rsidP="000131EB">
            <w:pPr>
              <w:spacing w:after="0" w:line="276" w:lineRule="auto"/>
              <w:rPr>
                <w:rFonts w:ascii="Arial" w:eastAsia="Times New Roman" w:hAnsi="Arial" w:cs="Arial"/>
                <w:b/>
                <w:bCs/>
                <w:color w:val="000000"/>
                <w:sz w:val="22"/>
                <w:lang w:eastAsia="nl-NL"/>
              </w:rPr>
            </w:pPr>
          </w:p>
        </w:tc>
        <w:tc>
          <w:tcPr>
            <w:tcW w:w="1500" w:type="dxa"/>
            <w:vMerge/>
            <w:tcBorders>
              <w:top w:val="nil"/>
              <w:left w:val="nil"/>
              <w:bottom w:val="single" w:sz="4" w:space="0" w:color="000000"/>
              <w:right w:val="nil"/>
            </w:tcBorders>
            <w:vAlign w:val="center"/>
            <w:hideMark/>
          </w:tcPr>
          <w:p w14:paraId="574E20FF" w14:textId="77777777" w:rsidR="003F1C37" w:rsidRPr="003F1C37" w:rsidRDefault="003F1C37" w:rsidP="000131EB">
            <w:pPr>
              <w:spacing w:after="0" w:line="276" w:lineRule="auto"/>
              <w:rPr>
                <w:rFonts w:ascii="Arial" w:eastAsia="Times New Roman" w:hAnsi="Arial" w:cs="Arial"/>
                <w:b/>
                <w:bCs/>
                <w:color w:val="000000"/>
                <w:sz w:val="22"/>
                <w:lang w:eastAsia="nl-NL"/>
              </w:rPr>
            </w:pPr>
          </w:p>
        </w:tc>
        <w:tc>
          <w:tcPr>
            <w:tcW w:w="1180" w:type="dxa"/>
            <w:vMerge/>
            <w:tcBorders>
              <w:top w:val="nil"/>
              <w:left w:val="nil"/>
              <w:bottom w:val="single" w:sz="4" w:space="0" w:color="000000"/>
              <w:right w:val="nil"/>
            </w:tcBorders>
            <w:vAlign w:val="center"/>
            <w:hideMark/>
          </w:tcPr>
          <w:p w14:paraId="6B54BA10" w14:textId="77777777" w:rsidR="003F1C37" w:rsidRPr="003F1C37" w:rsidRDefault="003F1C37" w:rsidP="000131EB">
            <w:pPr>
              <w:spacing w:after="0" w:line="276" w:lineRule="auto"/>
              <w:rPr>
                <w:rFonts w:ascii="Arial" w:eastAsia="Times New Roman" w:hAnsi="Arial" w:cs="Arial"/>
                <w:b/>
                <w:bCs/>
                <w:color w:val="000000"/>
                <w:sz w:val="22"/>
                <w:lang w:eastAsia="nl-NL"/>
              </w:rPr>
            </w:pPr>
          </w:p>
        </w:tc>
        <w:tc>
          <w:tcPr>
            <w:tcW w:w="700" w:type="dxa"/>
            <w:vMerge/>
            <w:tcBorders>
              <w:top w:val="nil"/>
              <w:left w:val="nil"/>
              <w:bottom w:val="single" w:sz="4" w:space="0" w:color="000000"/>
              <w:right w:val="single" w:sz="4" w:space="0" w:color="auto"/>
            </w:tcBorders>
            <w:vAlign w:val="center"/>
            <w:hideMark/>
          </w:tcPr>
          <w:p w14:paraId="2C72F971" w14:textId="77777777" w:rsidR="003F1C37" w:rsidRPr="003F1C37" w:rsidRDefault="003F1C37" w:rsidP="000131EB">
            <w:pPr>
              <w:spacing w:after="0" w:line="276" w:lineRule="auto"/>
              <w:rPr>
                <w:rFonts w:ascii="Arial" w:eastAsia="Times New Roman" w:hAnsi="Arial" w:cs="Arial"/>
                <w:b/>
                <w:bCs/>
                <w:color w:val="000000"/>
                <w:sz w:val="22"/>
                <w:lang w:eastAsia="nl-NL"/>
              </w:rPr>
            </w:pPr>
          </w:p>
        </w:tc>
        <w:tc>
          <w:tcPr>
            <w:tcW w:w="880" w:type="dxa"/>
            <w:tcBorders>
              <w:top w:val="nil"/>
              <w:left w:val="nil"/>
              <w:bottom w:val="single" w:sz="4" w:space="0" w:color="auto"/>
              <w:right w:val="nil"/>
            </w:tcBorders>
            <w:shd w:val="clear" w:color="000000" w:fill="F2F2F2"/>
            <w:vAlign w:val="center"/>
            <w:hideMark/>
          </w:tcPr>
          <w:p w14:paraId="51D820D1" w14:textId="77777777" w:rsidR="003F1C37" w:rsidRPr="003F1C37" w:rsidRDefault="003F1C37" w:rsidP="000131EB">
            <w:pPr>
              <w:spacing w:after="0" w:line="276" w:lineRule="auto"/>
              <w:jc w:val="right"/>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2020</w:t>
            </w:r>
          </w:p>
        </w:tc>
        <w:tc>
          <w:tcPr>
            <w:tcW w:w="1000" w:type="dxa"/>
            <w:tcBorders>
              <w:top w:val="nil"/>
              <w:left w:val="nil"/>
              <w:bottom w:val="single" w:sz="4" w:space="0" w:color="auto"/>
              <w:right w:val="nil"/>
            </w:tcBorders>
            <w:shd w:val="clear" w:color="000000" w:fill="F2F2F2"/>
            <w:vAlign w:val="center"/>
            <w:hideMark/>
          </w:tcPr>
          <w:p w14:paraId="6B6FD7AD" w14:textId="77777777" w:rsidR="003F1C37" w:rsidRPr="003F1C37" w:rsidRDefault="003F1C37" w:rsidP="000131EB">
            <w:pPr>
              <w:spacing w:after="0" w:line="276" w:lineRule="auto"/>
              <w:jc w:val="right"/>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2025</w:t>
            </w:r>
          </w:p>
        </w:tc>
        <w:tc>
          <w:tcPr>
            <w:tcW w:w="1040" w:type="dxa"/>
            <w:tcBorders>
              <w:top w:val="nil"/>
              <w:left w:val="nil"/>
              <w:bottom w:val="single" w:sz="4" w:space="0" w:color="auto"/>
              <w:right w:val="single" w:sz="4" w:space="0" w:color="auto"/>
            </w:tcBorders>
            <w:shd w:val="clear" w:color="000000" w:fill="F2F2F2"/>
            <w:vAlign w:val="center"/>
            <w:hideMark/>
          </w:tcPr>
          <w:p w14:paraId="3CB1FB50" w14:textId="77777777" w:rsidR="003F1C37" w:rsidRPr="003F1C37" w:rsidRDefault="003F1C37" w:rsidP="000131EB">
            <w:pPr>
              <w:spacing w:after="0" w:line="276" w:lineRule="auto"/>
              <w:jc w:val="right"/>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2030</w:t>
            </w:r>
          </w:p>
        </w:tc>
      </w:tr>
      <w:tr w:rsidR="003F1C37" w:rsidRPr="003F1C37" w14:paraId="5DF05AE8"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7582068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Aalsmeer</w:t>
            </w:r>
          </w:p>
        </w:tc>
        <w:tc>
          <w:tcPr>
            <w:tcW w:w="1500" w:type="dxa"/>
            <w:tcBorders>
              <w:top w:val="nil"/>
              <w:left w:val="nil"/>
              <w:bottom w:val="nil"/>
              <w:right w:val="single" w:sz="4" w:space="0" w:color="auto"/>
            </w:tcBorders>
            <w:shd w:val="clear" w:color="auto" w:fill="auto"/>
            <w:noWrap/>
            <w:vAlign w:val="bottom"/>
            <w:hideMark/>
          </w:tcPr>
          <w:p w14:paraId="1841B34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2B8767D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23.960 </w:t>
            </w:r>
          </w:p>
        </w:tc>
        <w:tc>
          <w:tcPr>
            <w:tcW w:w="700" w:type="dxa"/>
            <w:tcBorders>
              <w:top w:val="nil"/>
              <w:left w:val="nil"/>
              <w:bottom w:val="nil"/>
              <w:right w:val="nil"/>
            </w:tcBorders>
            <w:shd w:val="clear" w:color="auto" w:fill="auto"/>
            <w:noWrap/>
            <w:vAlign w:val="bottom"/>
            <w:hideMark/>
          </w:tcPr>
          <w:p w14:paraId="04A83E30"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0,7%</w:t>
            </w:r>
          </w:p>
        </w:tc>
        <w:tc>
          <w:tcPr>
            <w:tcW w:w="880" w:type="dxa"/>
            <w:tcBorders>
              <w:top w:val="nil"/>
              <w:left w:val="nil"/>
              <w:bottom w:val="nil"/>
              <w:right w:val="nil"/>
            </w:tcBorders>
            <w:shd w:val="clear" w:color="auto" w:fill="auto"/>
            <w:vAlign w:val="bottom"/>
            <w:hideMark/>
          </w:tcPr>
          <w:p w14:paraId="4566740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331 </w:t>
            </w:r>
          </w:p>
        </w:tc>
        <w:tc>
          <w:tcPr>
            <w:tcW w:w="1000" w:type="dxa"/>
            <w:tcBorders>
              <w:top w:val="nil"/>
              <w:left w:val="nil"/>
              <w:bottom w:val="nil"/>
              <w:right w:val="nil"/>
            </w:tcBorders>
            <w:shd w:val="clear" w:color="auto" w:fill="auto"/>
            <w:vAlign w:val="bottom"/>
            <w:hideMark/>
          </w:tcPr>
          <w:p w14:paraId="067F14E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994 </w:t>
            </w:r>
          </w:p>
        </w:tc>
        <w:tc>
          <w:tcPr>
            <w:tcW w:w="1040" w:type="dxa"/>
            <w:tcBorders>
              <w:top w:val="nil"/>
              <w:left w:val="nil"/>
              <w:bottom w:val="nil"/>
              <w:right w:val="single" w:sz="4" w:space="0" w:color="auto"/>
            </w:tcBorders>
            <w:shd w:val="clear" w:color="auto" w:fill="auto"/>
            <w:vAlign w:val="bottom"/>
            <w:hideMark/>
          </w:tcPr>
          <w:p w14:paraId="5451B74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2.374 </w:t>
            </w:r>
          </w:p>
        </w:tc>
      </w:tr>
      <w:tr w:rsidR="003F1C37" w:rsidRPr="003F1C37" w14:paraId="0ED445E2"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68DC60C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Alkmaar</w:t>
            </w:r>
          </w:p>
        </w:tc>
        <w:tc>
          <w:tcPr>
            <w:tcW w:w="1500" w:type="dxa"/>
            <w:tcBorders>
              <w:top w:val="nil"/>
              <w:left w:val="nil"/>
              <w:bottom w:val="nil"/>
              <w:right w:val="single" w:sz="4" w:space="0" w:color="auto"/>
            </w:tcBorders>
            <w:shd w:val="clear" w:color="auto" w:fill="auto"/>
            <w:noWrap/>
            <w:vAlign w:val="bottom"/>
            <w:hideMark/>
          </w:tcPr>
          <w:p w14:paraId="6978AA3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55272BF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85.541 </w:t>
            </w:r>
          </w:p>
        </w:tc>
        <w:tc>
          <w:tcPr>
            <w:tcW w:w="700" w:type="dxa"/>
            <w:tcBorders>
              <w:top w:val="nil"/>
              <w:left w:val="nil"/>
              <w:bottom w:val="nil"/>
              <w:right w:val="nil"/>
            </w:tcBorders>
            <w:shd w:val="clear" w:color="auto" w:fill="auto"/>
            <w:noWrap/>
            <w:vAlign w:val="bottom"/>
            <w:hideMark/>
          </w:tcPr>
          <w:p w14:paraId="5ACD9138"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2,4%</w:t>
            </w:r>
          </w:p>
        </w:tc>
        <w:tc>
          <w:tcPr>
            <w:tcW w:w="880" w:type="dxa"/>
            <w:tcBorders>
              <w:top w:val="nil"/>
              <w:left w:val="nil"/>
              <w:bottom w:val="nil"/>
              <w:right w:val="nil"/>
            </w:tcBorders>
            <w:shd w:val="clear" w:color="auto" w:fill="auto"/>
            <w:vAlign w:val="bottom"/>
            <w:hideMark/>
          </w:tcPr>
          <w:p w14:paraId="1B48F4E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1.182 </w:t>
            </w:r>
          </w:p>
        </w:tc>
        <w:tc>
          <w:tcPr>
            <w:tcW w:w="1000" w:type="dxa"/>
            <w:tcBorders>
              <w:top w:val="nil"/>
              <w:left w:val="nil"/>
              <w:bottom w:val="nil"/>
              <w:right w:val="nil"/>
            </w:tcBorders>
            <w:shd w:val="clear" w:color="auto" w:fill="auto"/>
            <w:vAlign w:val="bottom"/>
            <w:hideMark/>
          </w:tcPr>
          <w:p w14:paraId="58E8EAE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3.548 </w:t>
            </w:r>
          </w:p>
        </w:tc>
        <w:tc>
          <w:tcPr>
            <w:tcW w:w="1040" w:type="dxa"/>
            <w:tcBorders>
              <w:top w:val="nil"/>
              <w:left w:val="nil"/>
              <w:bottom w:val="nil"/>
              <w:right w:val="single" w:sz="4" w:space="0" w:color="auto"/>
            </w:tcBorders>
            <w:shd w:val="clear" w:color="auto" w:fill="auto"/>
            <w:vAlign w:val="bottom"/>
            <w:hideMark/>
          </w:tcPr>
          <w:p w14:paraId="7A89AD8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8.476 </w:t>
            </w:r>
          </w:p>
        </w:tc>
      </w:tr>
      <w:tr w:rsidR="003F1C37" w:rsidRPr="003F1C37" w14:paraId="413B1AA3"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089973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Almere</w:t>
            </w:r>
          </w:p>
        </w:tc>
        <w:tc>
          <w:tcPr>
            <w:tcW w:w="1500" w:type="dxa"/>
            <w:tcBorders>
              <w:top w:val="nil"/>
              <w:left w:val="nil"/>
              <w:bottom w:val="nil"/>
              <w:right w:val="single" w:sz="4" w:space="0" w:color="auto"/>
            </w:tcBorders>
            <w:shd w:val="clear" w:color="auto" w:fill="auto"/>
            <w:noWrap/>
            <w:vAlign w:val="bottom"/>
            <w:hideMark/>
          </w:tcPr>
          <w:p w14:paraId="3979ED1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Flevoland</w:t>
            </w:r>
          </w:p>
        </w:tc>
        <w:tc>
          <w:tcPr>
            <w:tcW w:w="1180" w:type="dxa"/>
            <w:tcBorders>
              <w:top w:val="nil"/>
              <w:left w:val="nil"/>
              <w:bottom w:val="nil"/>
              <w:right w:val="single" w:sz="4" w:space="0" w:color="auto"/>
            </w:tcBorders>
            <w:shd w:val="clear" w:color="auto" w:fill="auto"/>
            <w:noWrap/>
            <w:vAlign w:val="bottom"/>
            <w:hideMark/>
          </w:tcPr>
          <w:p w14:paraId="158997B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154.706 </w:t>
            </w:r>
          </w:p>
        </w:tc>
        <w:tc>
          <w:tcPr>
            <w:tcW w:w="700" w:type="dxa"/>
            <w:tcBorders>
              <w:top w:val="nil"/>
              <w:left w:val="nil"/>
              <w:bottom w:val="nil"/>
              <w:right w:val="nil"/>
            </w:tcBorders>
            <w:shd w:val="clear" w:color="auto" w:fill="auto"/>
            <w:noWrap/>
            <w:vAlign w:val="bottom"/>
            <w:hideMark/>
          </w:tcPr>
          <w:p w14:paraId="5A8D7522"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4,3%</w:t>
            </w:r>
          </w:p>
        </w:tc>
        <w:tc>
          <w:tcPr>
            <w:tcW w:w="880" w:type="dxa"/>
            <w:tcBorders>
              <w:top w:val="nil"/>
              <w:left w:val="nil"/>
              <w:bottom w:val="nil"/>
              <w:right w:val="nil"/>
            </w:tcBorders>
            <w:shd w:val="clear" w:color="auto" w:fill="auto"/>
            <w:vAlign w:val="bottom"/>
            <w:hideMark/>
          </w:tcPr>
          <w:p w14:paraId="7FD381A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2.138 </w:t>
            </w:r>
          </w:p>
        </w:tc>
        <w:tc>
          <w:tcPr>
            <w:tcW w:w="1000" w:type="dxa"/>
            <w:tcBorders>
              <w:top w:val="nil"/>
              <w:left w:val="nil"/>
              <w:bottom w:val="nil"/>
              <w:right w:val="nil"/>
            </w:tcBorders>
            <w:shd w:val="clear" w:color="auto" w:fill="auto"/>
            <w:vAlign w:val="bottom"/>
            <w:hideMark/>
          </w:tcPr>
          <w:p w14:paraId="7021B78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6.417 </w:t>
            </w:r>
          </w:p>
        </w:tc>
        <w:tc>
          <w:tcPr>
            <w:tcW w:w="1040" w:type="dxa"/>
            <w:tcBorders>
              <w:top w:val="nil"/>
              <w:left w:val="nil"/>
              <w:bottom w:val="nil"/>
              <w:right w:val="single" w:sz="4" w:space="0" w:color="auto"/>
            </w:tcBorders>
            <w:shd w:val="clear" w:color="auto" w:fill="auto"/>
            <w:vAlign w:val="bottom"/>
            <w:hideMark/>
          </w:tcPr>
          <w:p w14:paraId="588A005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15.329 </w:t>
            </w:r>
          </w:p>
        </w:tc>
      </w:tr>
      <w:tr w:rsidR="003F1C37" w:rsidRPr="003F1C37" w14:paraId="2D4620B9"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1379B8A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Amersfoort</w:t>
            </w:r>
          </w:p>
        </w:tc>
        <w:tc>
          <w:tcPr>
            <w:tcW w:w="1500" w:type="dxa"/>
            <w:tcBorders>
              <w:top w:val="nil"/>
              <w:left w:val="nil"/>
              <w:bottom w:val="nil"/>
              <w:right w:val="single" w:sz="4" w:space="0" w:color="auto"/>
            </w:tcBorders>
            <w:shd w:val="clear" w:color="auto" w:fill="auto"/>
            <w:noWrap/>
            <w:vAlign w:val="bottom"/>
            <w:hideMark/>
          </w:tcPr>
          <w:p w14:paraId="3FAEC06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2E181D6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117.132 </w:t>
            </w:r>
          </w:p>
        </w:tc>
        <w:tc>
          <w:tcPr>
            <w:tcW w:w="700" w:type="dxa"/>
            <w:tcBorders>
              <w:top w:val="nil"/>
              <w:left w:val="nil"/>
              <w:bottom w:val="nil"/>
              <w:right w:val="nil"/>
            </w:tcBorders>
            <w:shd w:val="clear" w:color="auto" w:fill="auto"/>
            <w:noWrap/>
            <w:vAlign w:val="bottom"/>
            <w:hideMark/>
          </w:tcPr>
          <w:p w14:paraId="6E2D37D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3,3%</w:t>
            </w:r>
          </w:p>
        </w:tc>
        <w:tc>
          <w:tcPr>
            <w:tcW w:w="880" w:type="dxa"/>
            <w:tcBorders>
              <w:top w:val="nil"/>
              <w:left w:val="nil"/>
              <w:bottom w:val="nil"/>
              <w:right w:val="nil"/>
            </w:tcBorders>
            <w:shd w:val="clear" w:color="auto" w:fill="auto"/>
            <w:vAlign w:val="bottom"/>
            <w:hideMark/>
          </w:tcPr>
          <w:p w14:paraId="57C4D04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1.619 </w:t>
            </w:r>
          </w:p>
        </w:tc>
        <w:tc>
          <w:tcPr>
            <w:tcW w:w="1000" w:type="dxa"/>
            <w:tcBorders>
              <w:top w:val="nil"/>
              <w:left w:val="nil"/>
              <w:bottom w:val="nil"/>
              <w:right w:val="nil"/>
            </w:tcBorders>
            <w:shd w:val="clear" w:color="auto" w:fill="auto"/>
            <w:vAlign w:val="bottom"/>
            <w:hideMark/>
          </w:tcPr>
          <w:p w14:paraId="3477409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4.859 </w:t>
            </w:r>
          </w:p>
        </w:tc>
        <w:tc>
          <w:tcPr>
            <w:tcW w:w="1040" w:type="dxa"/>
            <w:tcBorders>
              <w:top w:val="nil"/>
              <w:left w:val="nil"/>
              <w:bottom w:val="nil"/>
              <w:right w:val="single" w:sz="4" w:space="0" w:color="auto"/>
            </w:tcBorders>
            <w:shd w:val="clear" w:color="auto" w:fill="auto"/>
            <w:vAlign w:val="bottom"/>
            <w:hideMark/>
          </w:tcPr>
          <w:p w14:paraId="5DF5799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11.606 </w:t>
            </w:r>
          </w:p>
        </w:tc>
      </w:tr>
      <w:tr w:rsidR="003F1C37" w:rsidRPr="003F1C37" w14:paraId="32635771"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766219A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Amstelveen</w:t>
            </w:r>
          </w:p>
        </w:tc>
        <w:tc>
          <w:tcPr>
            <w:tcW w:w="1500" w:type="dxa"/>
            <w:tcBorders>
              <w:top w:val="nil"/>
              <w:left w:val="nil"/>
              <w:bottom w:val="nil"/>
              <w:right w:val="single" w:sz="4" w:space="0" w:color="auto"/>
            </w:tcBorders>
            <w:shd w:val="clear" w:color="auto" w:fill="auto"/>
            <w:noWrap/>
            <w:vAlign w:val="bottom"/>
            <w:hideMark/>
          </w:tcPr>
          <w:p w14:paraId="2C7EB0E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1354447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70.053 </w:t>
            </w:r>
          </w:p>
        </w:tc>
        <w:tc>
          <w:tcPr>
            <w:tcW w:w="700" w:type="dxa"/>
            <w:tcBorders>
              <w:top w:val="nil"/>
              <w:left w:val="nil"/>
              <w:bottom w:val="nil"/>
              <w:right w:val="nil"/>
            </w:tcBorders>
            <w:shd w:val="clear" w:color="auto" w:fill="auto"/>
            <w:noWrap/>
            <w:vAlign w:val="bottom"/>
            <w:hideMark/>
          </w:tcPr>
          <w:p w14:paraId="22D245F8"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2,0%</w:t>
            </w:r>
          </w:p>
        </w:tc>
        <w:tc>
          <w:tcPr>
            <w:tcW w:w="880" w:type="dxa"/>
            <w:tcBorders>
              <w:top w:val="nil"/>
              <w:left w:val="nil"/>
              <w:bottom w:val="nil"/>
              <w:right w:val="nil"/>
            </w:tcBorders>
            <w:shd w:val="clear" w:color="auto" w:fill="auto"/>
            <w:vAlign w:val="bottom"/>
            <w:hideMark/>
          </w:tcPr>
          <w:p w14:paraId="77D3074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968 </w:t>
            </w:r>
          </w:p>
        </w:tc>
        <w:tc>
          <w:tcPr>
            <w:tcW w:w="1000" w:type="dxa"/>
            <w:tcBorders>
              <w:top w:val="nil"/>
              <w:left w:val="nil"/>
              <w:bottom w:val="nil"/>
              <w:right w:val="nil"/>
            </w:tcBorders>
            <w:shd w:val="clear" w:color="auto" w:fill="auto"/>
            <w:vAlign w:val="bottom"/>
            <w:hideMark/>
          </w:tcPr>
          <w:p w14:paraId="75CBBE0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2.906 </w:t>
            </w:r>
          </w:p>
        </w:tc>
        <w:tc>
          <w:tcPr>
            <w:tcW w:w="1040" w:type="dxa"/>
            <w:tcBorders>
              <w:top w:val="nil"/>
              <w:left w:val="nil"/>
              <w:bottom w:val="nil"/>
              <w:right w:val="single" w:sz="4" w:space="0" w:color="auto"/>
            </w:tcBorders>
            <w:shd w:val="clear" w:color="auto" w:fill="auto"/>
            <w:vAlign w:val="bottom"/>
            <w:hideMark/>
          </w:tcPr>
          <w:p w14:paraId="2446276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6.941 </w:t>
            </w:r>
          </w:p>
        </w:tc>
      </w:tr>
      <w:tr w:rsidR="003F1C37" w:rsidRPr="003F1C37" w14:paraId="25413CF3"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281E518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Amsterdam</w:t>
            </w:r>
          </w:p>
        </w:tc>
        <w:tc>
          <w:tcPr>
            <w:tcW w:w="1500" w:type="dxa"/>
            <w:tcBorders>
              <w:top w:val="nil"/>
              <w:left w:val="nil"/>
              <w:bottom w:val="nil"/>
              <w:right w:val="single" w:sz="4" w:space="0" w:color="auto"/>
            </w:tcBorders>
            <w:shd w:val="clear" w:color="auto" w:fill="auto"/>
            <w:noWrap/>
            <w:vAlign w:val="bottom"/>
            <w:hideMark/>
          </w:tcPr>
          <w:p w14:paraId="2E2AB33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3728F7A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696.510 </w:t>
            </w:r>
          </w:p>
        </w:tc>
        <w:tc>
          <w:tcPr>
            <w:tcW w:w="700" w:type="dxa"/>
            <w:tcBorders>
              <w:top w:val="nil"/>
              <w:left w:val="nil"/>
              <w:bottom w:val="nil"/>
              <w:right w:val="nil"/>
            </w:tcBorders>
            <w:shd w:val="clear" w:color="auto" w:fill="auto"/>
            <w:noWrap/>
            <w:vAlign w:val="bottom"/>
            <w:hideMark/>
          </w:tcPr>
          <w:p w14:paraId="39B28D60"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19,5%</w:t>
            </w:r>
          </w:p>
        </w:tc>
        <w:tc>
          <w:tcPr>
            <w:tcW w:w="880" w:type="dxa"/>
            <w:tcBorders>
              <w:top w:val="nil"/>
              <w:left w:val="nil"/>
              <w:bottom w:val="nil"/>
              <w:right w:val="nil"/>
            </w:tcBorders>
            <w:shd w:val="clear" w:color="auto" w:fill="auto"/>
            <w:vAlign w:val="bottom"/>
            <w:hideMark/>
          </w:tcPr>
          <w:p w14:paraId="11E67A7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9.625 </w:t>
            </w:r>
          </w:p>
        </w:tc>
        <w:tc>
          <w:tcPr>
            <w:tcW w:w="1000" w:type="dxa"/>
            <w:tcBorders>
              <w:top w:val="nil"/>
              <w:left w:val="nil"/>
              <w:bottom w:val="nil"/>
              <w:right w:val="nil"/>
            </w:tcBorders>
            <w:shd w:val="clear" w:color="auto" w:fill="auto"/>
            <w:vAlign w:val="bottom"/>
            <w:hideMark/>
          </w:tcPr>
          <w:p w14:paraId="51F3D70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28.891 </w:t>
            </w:r>
          </w:p>
        </w:tc>
        <w:tc>
          <w:tcPr>
            <w:tcW w:w="1040" w:type="dxa"/>
            <w:tcBorders>
              <w:top w:val="nil"/>
              <w:left w:val="nil"/>
              <w:bottom w:val="nil"/>
              <w:right w:val="single" w:sz="4" w:space="0" w:color="auto"/>
            </w:tcBorders>
            <w:shd w:val="clear" w:color="auto" w:fill="auto"/>
            <w:vAlign w:val="bottom"/>
            <w:hideMark/>
          </w:tcPr>
          <w:p w14:paraId="128C23A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69.015 </w:t>
            </w:r>
          </w:p>
        </w:tc>
      </w:tr>
      <w:tr w:rsidR="003F1C37" w:rsidRPr="003F1C37" w14:paraId="6A3C0EFD"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2CC0A5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Baarn</w:t>
            </w:r>
          </w:p>
        </w:tc>
        <w:tc>
          <w:tcPr>
            <w:tcW w:w="1500" w:type="dxa"/>
            <w:tcBorders>
              <w:top w:val="nil"/>
              <w:left w:val="nil"/>
              <w:bottom w:val="nil"/>
              <w:right w:val="single" w:sz="4" w:space="0" w:color="auto"/>
            </w:tcBorders>
            <w:shd w:val="clear" w:color="auto" w:fill="auto"/>
            <w:noWrap/>
            <w:vAlign w:val="bottom"/>
            <w:hideMark/>
          </w:tcPr>
          <w:p w14:paraId="78B5CA8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712780D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19.406 </w:t>
            </w:r>
          </w:p>
        </w:tc>
        <w:tc>
          <w:tcPr>
            <w:tcW w:w="700" w:type="dxa"/>
            <w:tcBorders>
              <w:top w:val="nil"/>
              <w:left w:val="nil"/>
              <w:bottom w:val="nil"/>
              <w:right w:val="nil"/>
            </w:tcBorders>
            <w:shd w:val="clear" w:color="auto" w:fill="auto"/>
            <w:noWrap/>
            <w:vAlign w:val="bottom"/>
            <w:hideMark/>
          </w:tcPr>
          <w:p w14:paraId="1386DC93"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0,5%</w:t>
            </w:r>
          </w:p>
        </w:tc>
        <w:tc>
          <w:tcPr>
            <w:tcW w:w="880" w:type="dxa"/>
            <w:tcBorders>
              <w:top w:val="nil"/>
              <w:left w:val="nil"/>
              <w:bottom w:val="nil"/>
              <w:right w:val="nil"/>
            </w:tcBorders>
            <w:shd w:val="clear" w:color="auto" w:fill="auto"/>
            <w:vAlign w:val="bottom"/>
            <w:hideMark/>
          </w:tcPr>
          <w:p w14:paraId="37C8C1D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268 </w:t>
            </w:r>
          </w:p>
        </w:tc>
        <w:tc>
          <w:tcPr>
            <w:tcW w:w="1000" w:type="dxa"/>
            <w:tcBorders>
              <w:top w:val="nil"/>
              <w:left w:val="nil"/>
              <w:bottom w:val="nil"/>
              <w:right w:val="nil"/>
            </w:tcBorders>
            <w:shd w:val="clear" w:color="auto" w:fill="auto"/>
            <w:vAlign w:val="bottom"/>
            <w:hideMark/>
          </w:tcPr>
          <w:p w14:paraId="2BC1A8D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805 </w:t>
            </w:r>
          </w:p>
        </w:tc>
        <w:tc>
          <w:tcPr>
            <w:tcW w:w="1040" w:type="dxa"/>
            <w:tcBorders>
              <w:top w:val="nil"/>
              <w:left w:val="nil"/>
              <w:bottom w:val="nil"/>
              <w:right w:val="single" w:sz="4" w:space="0" w:color="auto"/>
            </w:tcBorders>
            <w:shd w:val="clear" w:color="auto" w:fill="auto"/>
            <w:vAlign w:val="bottom"/>
            <w:hideMark/>
          </w:tcPr>
          <w:p w14:paraId="3F77992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1.923 </w:t>
            </w:r>
          </w:p>
        </w:tc>
      </w:tr>
      <w:tr w:rsidR="003F1C37" w:rsidRPr="003F1C37" w14:paraId="2F75EF17"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1D17F03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Beemster</w:t>
            </w:r>
          </w:p>
        </w:tc>
        <w:tc>
          <w:tcPr>
            <w:tcW w:w="1500" w:type="dxa"/>
            <w:tcBorders>
              <w:top w:val="nil"/>
              <w:left w:val="nil"/>
              <w:bottom w:val="nil"/>
              <w:right w:val="single" w:sz="4" w:space="0" w:color="auto"/>
            </w:tcBorders>
            <w:shd w:val="clear" w:color="auto" w:fill="auto"/>
            <w:noWrap/>
            <w:vAlign w:val="bottom"/>
            <w:hideMark/>
          </w:tcPr>
          <w:p w14:paraId="3A67C5A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3A155BD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7.529 </w:t>
            </w:r>
          </w:p>
        </w:tc>
        <w:tc>
          <w:tcPr>
            <w:tcW w:w="700" w:type="dxa"/>
            <w:tcBorders>
              <w:top w:val="nil"/>
              <w:left w:val="nil"/>
              <w:bottom w:val="nil"/>
              <w:right w:val="nil"/>
            </w:tcBorders>
            <w:shd w:val="clear" w:color="auto" w:fill="auto"/>
            <w:noWrap/>
            <w:vAlign w:val="bottom"/>
            <w:hideMark/>
          </w:tcPr>
          <w:p w14:paraId="6070792E"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0,2%</w:t>
            </w:r>
          </w:p>
        </w:tc>
        <w:tc>
          <w:tcPr>
            <w:tcW w:w="880" w:type="dxa"/>
            <w:tcBorders>
              <w:top w:val="nil"/>
              <w:left w:val="nil"/>
              <w:bottom w:val="nil"/>
              <w:right w:val="nil"/>
            </w:tcBorders>
            <w:shd w:val="clear" w:color="auto" w:fill="auto"/>
            <w:vAlign w:val="bottom"/>
            <w:hideMark/>
          </w:tcPr>
          <w:p w14:paraId="55E5B72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104 </w:t>
            </w:r>
          </w:p>
        </w:tc>
        <w:tc>
          <w:tcPr>
            <w:tcW w:w="1000" w:type="dxa"/>
            <w:tcBorders>
              <w:top w:val="nil"/>
              <w:left w:val="nil"/>
              <w:bottom w:val="nil"/>
              <w:right w:val="nil"/>
            </w:tcBorders>
            <w:shd w:val="clear" w:color="auto" w:fill="auto"/>
            <w:vAlign w:val="bottom"/>
            <w:hideMark/>
          </w:tcPr>
          <w:p w14:paraId="68AFF3A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312 </w:t>
            </w:r>
          </w:p>
        </w:tc>
        <w:tc>
          <w:tcPr>
            <w:tcW w:w="1040" w:type="dxa"/>
            <w:tcBorders>
              <w:top w:val="nil"/>
              <w:left w:val="nil"/>
              <w:bottom w:val="nil"/>
              <w:right w:val="single" w:sz="4" w:space="0" w:color="auto"/>
            </w:tcBorders>
            <w:shd w:val="clear" w:color="auto" w:fill="auto"/>
            <w:vAlign w:val="bottom"/>
            <w:hideMark/>
          </w:tcPr>
          <w:p w14:paraId="41247A5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746 </w:t>
            </w:r>
          </w:p>
        </w:tc>
      </w:tr>
      <w:tr w:rsidR="003F1C37" w:rsidRPr="003F1C37" w14:paraId="10FE847B"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A62018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Bergen (NH.)</w:t>
            </w:r>
          </w:p>
        </w:tc>
        <w:tc>
          <w:tcPr>
            <w:tcW w:w="1500" w:type="dxa"/>
            <w:tcBorders>
              <w:top w:val="nil"/>
              <w:left w:val="nil"/>
              <w:bottom w:val="nil"/>
              <w:right w:val="single" w:sz="4" w:space="0" w:color="auto"/>
            </w:tcBorders>
            <w:shd w:val="clear" w:color="auto" w:fill="auto"/>
            <w:noWrap/>
            <w:vAlign w:val="bottom"/>
            <w:hideMark/>
          </w:tcPr>
          <w:p w14:paraId="7CE1460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6949286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24.466 </w:t>
            </w:r>
          </w:p>
        </w:tc>
        <w:tc>
          <w:tcPr>
            <w:tcW w:w="700" w:type="dxa"/>
            <w:tcBorders>
              <w:top w:val="nil"/>
              <w:left w:val="nil"/>
              <w:bottom w:val="nil"/>
              <w:right w:val="nil"/>
            </w:tcBorders>
            <w:shd w:val="clear" w:color="auto" w:fill="auto"/>
            <w:noWrap/>
            <w:vAlign w:val="bottom"/>
            <w:hideMark/>
          </w:tcPr>
          <w:p w14:paraId="36A0D75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0,7%</w:t>
            </w:r>
          </w:p>
        </w:tc>
        <w:tc>
          <w:tcPr>
            <w:tcW w:w="880" w:type="dxa"/>
            <w:tcBorders>
              <w:top w:val="nil"/>
              <w:left w:val="nil"/>
              <w:bottom w:val="nil"/>
              <w:right w:val="nil"/>
            </w:tcBorders>
            <w:shd w:val="clear" w:color="auto" w:fill="auto"/>
            <w:vAlign w:val="bottom"/>
            <w:hideMark/>
          </w:tcPr>
          <w:p w14:paraId="53729E4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338 </w:t>
            </w:r>
          </w:p>
        </w:tc>
        <w:tc>
          <w:tcPr>
            <w:tcW w:w="1000" w:type="dxa"/>
            <w:tcBorders>
              <w:top w:val="nil"/>
              <w:left w:val="nil"/>
              <w:bottom w:val="nil"/>
              <w:right w:val="nil"/>
            </w:tcBorders>
            <w:shd w:val="clear" w:color="auto" w:fill="auto"/>
            <w:vAlign w:val="bottom"/>
            <w:hideMark/>
          </w:tcPr>
          <w:p w14:paraId="6F2E793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1.015 </w:t>
            </w:r>
          </w:p>
        </w:tc>
        <w:tc>
          <w:tcPr>
            <w:tcW w:w="1040" w:type="dxa"/>
            <w:tcBorders>
              <w:top w:val="nil"/>
              <w:left w:val="nil"/>
              <w:bottom w:val="nil"/>
              <w:right w:val="single" w:sz="4" w:space="0" w:color="auto"/>
            </w:tcBorders>
            <w:shd w:val="clear" w:color="auto" w:fill="auto"/>
            <w:vAlign w:val="bottom"/>
            <w:hideMark/>
          </w:tcPr>
          <w:p w14:paraId="64EDC72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2.424 </w:t>
            </w:r>
          </w:p>
        </w:tc>
      </w:tr>
      <w:tr w:rsidR="003F1C37" w:rsidRPr="003F1C37" w14:paraId="2F098528"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F2D1D9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Beverwijk</w:t>
            </w:r>
          </w:p>
        </w:tc>
        <w:tc>
          <w:tcPr>
            <w:tcW w:w="1500" w:type="dxa"/>
            <w:tcBorders>
              <w:top w:val="nil"/>
              <w:left w:val="nil"/>
              <w:bottom w:val="nil"/>
              <w:right w:val="single" w:sz="4" w:space="0" w:color="auto"/>
            </w:tcBorders>
            <w:shd w:val="clear" w:color="auto" w:fill="auto"/>
            <w:noWrap/>
            <w:vAlign w:val="bottom"/>
            <w:hideMark/>
          </w:tcPr>
          <w:p w14:paraId="50D487C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04692B3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32.257 </w:t>
            </w:r>
          </w:p>
        </w:tc>
        <w:tc>
          <w:tcPr>
            <w:tcW w:w="700" w:type="dxa"/>
            <w:tcBorders>
              <w:top w:val="nil"/>
              <w:left w:val="nil"/>
              <w:bottom w:val="nil"/>
              <w:right w:val="nil"/>
            </w:tcBorders>
            <w:shd w:val="clear" w:color="auto" w:fill="auto"/>
            <w:noWrap/>
            <w:vAlign w:val="bottom"/>
            <w:hideMark/>
          </w:tcPr>
          <w:p w14:paraId="51ACB679"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0,9%</w:t>
            </w:r>
          </w:p>
        </w:tc>
        <w:tc>
          <w:tcPr>
            <w:tcW w:w="880" w:type="dxa"/>
            <w:tcBorders>
              <w:top w:val="nil"/>
              <w:left w:val="nil"/>
              <w:bottom w:val="nil"/>
              <w:right w:val="nil"/>
            </w:tcBorders>
            <w:shd w:val="clear" w:color="auto" w:fill="auto"/>
            <w:vAlign w:val="bottom"/>
            <w:hideMark/>
          </w:tcPr>
          <w:p w14:paraId="69E12EB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446 </w:t>
            </w:r>
          </w:p>
        </w:tc>
        <w:tc>
          <w:tcPr>
            <w:tcW w:w="1000" w:type="dxa"/>
            <w:tcBorders>
              <w:top w:val="nil"/>
              <w:left w:val="nil"/>
              <w:bottom w:val="nil"/>
              <w:right w:val="nil"/>
            </w:tcBorders>
            <w:shd w:val="clear" w:color="auto" w:fill="auto"/>
            <w:vAlign w:val="bottom"/>
            <w:hideMark/>
          </w:tcPr>
          <w:p w14:paraId="7EC974B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1.338 </w:t>
            </w:r>
          </w:p>
        </w:tc>
        <w:tc>
          <w:tcPr>
            <w:tcW w:w="1040" w:type="dxa"/>
            <w:tcBorders>
              <w:top w:val="nil"/>
              <w:left w:val="nil"/>
              <w:bottom w:val="nil"/>
              <w:right w:val="single" w:sz="4" w:space="0" w:color="auto"/>
            </w:tcBorders>
            <w:shd w:val="clear" w:color="auto" w:fill="auto"/>
            <w:vAlign w:val="bottom"/>
            <w:hideMark/>
          </w:tcPr>
          <w:p w14:paraId="118ED18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3.196 </w:t>
            </w:r>
          </w:p>
        </w:tc>
      </w:tr>
      <w:tr w:rsidR="003F1C37" w:rsidRPr="003F1C37" w14:paraId="1C134DDD"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1B462A3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Blaricum</w:t>
            </w:r>
          </w:p>
        </w:tc>
        <w:tc>
          <w:tcPr>
            <w:tcW w:w="1500" w:type="dxa"/>
            <w:tcBorders>
              <w:top w:val="nil"/>
              <w:left w:val="nil"/>
              <w:bottom w:val="nil"/>
              <w:right w:val="single" w:sz="4" w:space="0" w:color="auto"/>
            </w:tcBorders>
            <w:shd w:val="clear" w:color="auto" w:fill="auto"/>
            <w:noWrap/>
            <w:vAlign w:val="bottom"/>
            <w:hideMark/>
          </w:tcPr>
          <w:p w14:paraId="6DCD91C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025DB84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8.521 </w:t>
            </w:r>
          </w:p>
        </w:tc>
        <w:tc>
          <w:tcPr>
            <w:tcW w:w="700" w:type="dxa"/>
            <w:tcBorders>
              <w:top w:val="nil"/>
              <w:left w:val="nil"/>
              <w:bottom w:val="nil"/>
              <w:right w:val="nil"/>
            </w:tcBorders>
            <w:shd w:val="clear" w:color="auto" w:fill="auto"/>
            <w:noWrap/>
            <w:vAlign w:val="bottom"/>
            <w:hideMark/>
          </w:tcPr>
          <w:p w14:paraId="6072B4AF"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0,2%</w:t>
            </w:r>
          </w:p>
        </w:tc>
        <w:tc>
          <w:tcPr>
            <w:tcW w:w="880" w:type="dxa"/>
            <w:tcBorders>
              <w:top w:val="nil"/>
              <w:left w:val="nil"/>
              <w:bottom w:val="nil"/>
              <w:right w:val="nil"/>
            </w:tcBorders>
            <w:shd w:val="clear" w:color="auto" w:fill="auto"/>
            <w:vAlign w:val="bottom"/>
            <w:hideMark/>
          </w:tcPr>
          <w:p w14:paraId="2B8A8F5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118 </w:t>
            </w:r>
          </w:p>
        </w:tc>
        <w:tc>
          <w:tcPr>
            <w:tcW w:w="1000" w:type="dxa"/>
            <w:tcBorders>
              <w:top w:val="nil"/>
              <w:left w:val="nil"/>
              <w:bottom w:val="nil"/>
              <w:right w:val="nil"/>
            </w:tcBorders>
            <w:shd w:val="clear" w:color="auto" w:fill="auto"/>
            <w:vAlign w:val="bottom"/>
            <w:hideMark/>
          </w:tcPr>
          <w:p w14:paraId="7DA8FCE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353 </w:t>
            </w:r>
          </w:p>
        </w:tc>
        <w:tc>
          <w:tcPr>
            <w:tcW w:w="1040" w:type="dxa"/>
            <w:tcBorders>
              <w:top w:val="nil"/>
              <w:left w:val="nil"/>
              <w:bottom w:val="nil"/>
              <w:right w:val="single" w:sz="4" w:space="0" w:color="auto"/>
            </w:tcBorders>
            <w:shd w:val="clear" w:color="auto" w:fill="auto"/>
            <w:vAlign w:val="bottom"/>
            <w:hideMark/>
          </w:tcPr>
          <w:p w14:paraId="56FBFC8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844 </w:t>
            </w:r>
          </w:p>
        </w:tc>
      </w:tr>
      <w:tr w:rsidR="003F1C37" w:rsidRPr="003F1C37" w14:paraId="5D2DDE58"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2B9EDF1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Bloemendaal</w:t>
            </w:r>
          </w:p>
        </w:tc>
        <w:tc>
          <w:tcPr>
            <w:tcW w:w="1500" w:type="dxa"/>
            <w:tcBorders>
              <w:top w:val="nil"/>
              <w:left w:val="nil"/>
              <w:bottom w:val="nil"/>
              <w:right w:val="single" w:sz="4" w:space="0" w:color="auto"/>
            </w:tcBorders>
            <w:shd w:val="clear" w:color="auto" w:fill="auto"/>
            <w:noWrap/>
            <w:vAlign w:val="bottom"/>
            <w:hideMark/>
          </w:tcPr>
          <w:p w14:paraId="08E0697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243ACF5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17.586 </w:t>
            </w:r>
          </w:p>
        </w:tc>
        <w:tc>
          <w:tcPr>
            <w:tcW w:w="700" w:type="dxa"/>
            <w:tcBorders>
              <w:top w:val="nil"/>
              <w:left w:val="nil"/>
              <w:bottom w:val="nil"/>
              <w:right w:val="nil"/>
            </w:tcBorders>
            <w:shd w:val="clear" w:color="auto" w:fill="auto"/>
            <w:noWrap/>
            <w:vAlign w:val="bottom"/>
            <w:hideMark/>
          </w:tcPr>
          <w:p w14:paraId="7F31705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0,5%</w:t>
            </w:r>
          </w:p>
        </w:tc>
        <w:tc>
          <w:tcPr>
            <w:tcW w:w="880" w:type="dxa"/>
            <w:tcBorders>
              <w:top w:val="nil"/>
              <w:left w:val="nil"/>
              <w:bottom w:val="nil"/>
              <w:right w:val="nil"/>
            </w:tcBorders>
            <w:shd w:val="clear" w:color="auto" w:fill="auto"/>
            <w:vAlign w:val="bottom"/>
            <w:hideMark/>
          </w:tcPr>
          <w:p w14:paraId="26B049E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243 </w:t>
            </w:r>
          </w:p>
        </w:tc>
        <w:tc>
          <w:tcPr>
            <w:tcW w:w="1000" w:type="dxa"/>
            <w:tcBorders>
              <w:top w:val="nil"/>
              <w:left w:val="nil"/>
              <w:bottom w:val="nil"/>
              <w:right w:val="nil"/>
            </w:tcBorders>
            <w:shd w:val="clear" w:color="auto" w:fill="auto"/>
            <w:vAlign w:val="bottom"/>
            <w:hideMark/>
          </w:tcPr>
          <w:p w14:paraId="540FB35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729 </w:t>
            </w:r>
          </w:p>
        </w:tc>
        <w:tc>
          <w:tcPr>
            <w:tcW w:w="1040" w:type="dxa"/>
            <w:tcBorders>
              <w:top w:val="nil"/>
              <w:left w:val="nil"/>
              <w:bottom w:val="nil"/>
              <w:right w:val="single" w:sz="4" w:space="0" w:color="auto"/>
            </w:tcBorders>
            <w:shd w:val="clear" w:color="auto" w:fill="auto"/>
            <w:vAlign w:val="bottom"/>
            <w:hideMark/>
          </w:tcPr>
          <w:p w14:paraId="795F6EE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1.743 </w:t>
            </w:r>
          </w:p>
        </w:tc>
      </w:tr>
      <w:tr w:rsidR="003F1C37" w:rsidRPr="003F1C37" w14:paraId="066DE6AF"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3B7B4C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Bunnik</w:t>
            </w:r>
          </w:p>
        </w:tc>
        <w:tc>
          <w:tcPr>
            <w:tcW w:w="1500" w:type="dxa"/>
            <w:tcBorders>
              <w:top w:val="nil"/>
              <w:left w:val="nil"/>
              <w:bottom w:val="nil"/>
              <w:right w:val="single" w:sz="4" w:space="0" w:color="auto"/>
            </w:tcBorders>
            <w:shd w:val="clear" w:color="auto" w:fill="auto"/>
            <w:noWrap/>
            <w:vAlign w:val="bottom"/>
            <w:hideMark/>
          </w:tcPr>
          <w:p w14:paraId="799E215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4271B62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11.487 </w:t>
            </w:r>
          </w:p>
        </w:tc>
        <w:tc>
          <w:tcPr>
            <w:tcW w:w="700" w:type="dxa"/>
            <w:tcBorders>
              <w:top w:val="nil"/>
              <w:left w:val="nil"/>
              <w:bottom w:val="nil"/>
              <w:right w:val="nil"/>
            </w:tcBorders>
            <w:shd w:val="clear" w:color="auto" w:fill="auto"/>
            <w:noWrap/>
            <w:vAlign w:val="bottom"/>
            <w:hideMark/>
          </w:tcPr>
          <w:p w14:paraId="1F67101A"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0,3%</w:t>
            </w:r>
          </w:p>
        </w:tc>
        <w:tc>
          <w:tcPr>
            <w:tcW w:w="880" w:type="dxa"/>
            <w:tcBorders>
              <w:top w:val="nil"/>
              <w:left w:val="nil"/>
              <w:bottom w:val="nil"/>
              <w:right w:val="nil"/>
            </w:tcBorders>
            <w:shd w:val="clear" w:color="auto" w:fill="auto"/>
            <w:vAlign w:val="bottom"/>
            <w:hideMark/>
          </w:tcPr>
          <w:p w14:paraId="4FE185E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159 </w:t>
            </w:r>
          </w:p>
        </w:tc>
        <w:tc>
          <w:tcPr>
            <w:tcW w:w="1000" w:type="dxa"/>
            <w:tcBorders>
              <w:top w:val="nil"/>
              <w:left w:val="nil"/>
              <w:bottom w:val="nil"/>
              <w:right w:val="nil"/>
            </w:tcBorders>
            <w:shd w:val="clear" w:color="auto" w:fill="auto"/>
            <w:vAlign w:val="bottom"/>
            <w:hideMark/>
          </w:tcPr>
          <w:p w14:paraId="19DB655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476 </w:t>
            </w:r>
          </w:p>
        </w:tc>
        <w:tc>
          <w:tcPr>
            <w:tcW w:w="1040" w:type="dxa"/>
            <w:tcBorders>
              <w:top w:val="nil"/>
              <w:left w:val="nil"/>
              <w:bottom w:val="nil"/>
              <w:right w:val="single" w:sz="4" w:space="0" w:color="auto"/>
            </w:tcBorders>
            <w:shd w:val="clear" w:color="auto" w:fill="auto"/>
            <w:vAlign w:val="bottom"/>
            <w:hideMark/>
          </w:tcPr>
          <w:p w14:paraId="10CC3DD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1.138 </w:t>
            </w:r>
          </w:p>
        </w:tc>
      </w:tr>
      <w:tr w:rsidR="003F1C37" w:rsidRPr="003F1C37" w14:paraId="0E546F3F"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1377F2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Bunschoten</w:t>
            </w:r>
          </w:p>
        </w:tc>
        <w:tc>
          <w:tcPr>
            <w:tcW w:w="1500" w:type="dxa"/>
            <w:tcBorders>
              <w:top w:val="nil"/>
              <w:left w:val="nil"/>
              <w:bottom w:val="nil"/>
              <w:right w:val="single" w:sz="4" w:space="0" w:color="auto"/>
            </w:tcBorders>
            <w:shd w:val="clear" w:color="auto" w:fill="auto"/>
            <w:noWrap/>
            <w:vAlign w:val="bottom"/>
            <w:hideMark/>
          </w:tcPr>
          <w:p w14:paraId="09168C4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4110831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15.929 </w:t>
            </w:r>
          </w:p>
        </w:tc>
        <w:tc>
          <w:tcPr>
            <w:tcW w:w="700" w:type="dxa"/>
            <w:tcBorders>
              <w:top w:val="nil"/>
              <w:left w:val="nil"/>
              <w:bottom w:val="nil"/>
              <w:right w:val="nil"/>
            </w:tcBorders>
            <w:shd w:val="clear" w:color="auto" w:fill="auto"/>
            <w:noWrap/>
            <w:vAlign w:val="bottom"/>
            <w:hideMark/>
          </w:tcPr>
          <w:p w14:paraId="31810602"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0,4%</w:t>
            </w:r>
          </w:p>
        </w:tc>
        <w:tc>
          <w:tcPr>
            <w:tcW w:w="880" w:type="dxa"/>
            <w:tcBorders>
              <w:top w:val="nil"/>
              <w:left w:val="nil"/>
              <w:bottom w:val="nil"/>
              <w:right w:val="nil"/>
            </w:tcBorders>
            <w:shd w:val="clear" w:color="auto" w:fill="auto"/>
            <w:vAlign w:val="bottom"/>
            <w:hideMark/>
          </w:tcPr>
          <w:p w14:paraId="3DD0449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220 </w:t>
            </w:r>
          </w:p>
        </w:tc>
        <w:tc>
          <w:tcPr>
            <w:tcW w:w="1000" w:type="dxa"/>
            <w:tcBorders>
              <w:top w:val="nil"/>
              <w:left w:val="nil"/>
              <w:bottom w:val="nil"/>
              <w:right w:val="nil"/>
            </w:tcBorders>
            <w:shd w:val="clear" w:color="auto" w:fill="auto"/>
            <w:vAlign w:val="bottom"/>
            <w:hideMark/>
          </w:tcPr>
          <w:p w14:paraId="79E4CBE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661 </w:t>
            </w:r>
          </w:p>
        </w:tc>
        <w:tc>
          <w:tcPr>
            <w:tcW w:w="1040" w:type="dxa"/>
            <w:tcBorders>
              <w:top w:val="nil"/>
              <w:left w:val="nil"/>
              <w:bottom w:val="nil"/>
              <w:right w:val="single" w:sz="4" w:space="0" w:color="auto"/>
            </w:tcBorders>
            <w:shd w:val="clear" w:color="auto" w:fill="auto"/>
            <w:vAlign w:val="bottom"/>
            <w:hideMark/>
          </w:tcPr>
          <w:p w14:paraId="596EE50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1.578 </w:t>
            </w:r>
          </w:p>
        </w:tc>
      </w:tr>
      <w:tr w:rsidR="003F1C37" w:rsidRPr="003F1C37" w14:paraId="2E0CD6BB"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83C7E7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Castricum</w:t>
            </w:r>
          </w:p>
        </w:tc>
        <w:tc>
          <w:tcPr>
            <w:tcW w:w="1500" w:type="dxa"/>
            <w:tcBorders>
              <w:top w:val="nil"/>
              <w:left w:val="nil"/>
              <w:bottom w:val="nil"/>
              <w:right w:val="single" w:sz="4" w:space="0" w:color="auto"/>
            </w:tcBorders>
            <w:shd w:val="clear" w:color="auto" w:fill="auto"/>
            <w:noWrap/>
            <w:vAlign w:val="bottom"/>
            <w:hideMark/>
          </w:tcPr>
          <w:p w14:paraId="23CD102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0CF2398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28.236 </w:t>
            </w:r>
          </w:p>
        </w:tc>
        <w:tc>
          <w:tcPr>
            <w:tcW w:w="700" w:type="dxa"/>
            <w:tcBorders>
              <w:top w:val="nil"/>
              <w:left w:val="nil"/>
              <w:bottom w:val="nil"/>
              <w:right w:val="nil"/>
            </w:tcBorders>
            <w:shd w:val="clear" w:color="auto" w:fill="auto"/>
            <w:noWrap/>
            <w:vAlign w:val="bottom"/>
            <w:hideMark/>
          </w:tcPr>
          <w:p w14:paraId="4394FBAE"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0,8%</w:t>
            </w:r>
          </w:p>
        </w:tc>
        <w:tc>
          <w:tcPr>
            <w:tcW w:w="880" w:type="dxa"/>
            <w:tcBorders>
              <w:top w:val="nil"/>
              <w:left w:val="nil"/>
              <w:bottom w:val="nil"/>
              <w:right w:val="nil"/>
            </w:tcBorders>
            <w:shd w:val="clear" w:color="auto" w:fill="auto"/>
            <w:vAlign w:val="bottom"/>
            <w:hideMark/>
          </w:tcPr>
          <w:p w14:paraId="458818A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390 </w:t>
            </w:r>
          </w:p>
        </w:tc>
        <w:tc>
          <w:tcPr>
            <w:tcW w:w="1000" w:type="dxa"/>
            <w:tcBorders>
              <w:top w:val="nil"/>
              <w:left w:val="nil"/>
              <w:bottom w:val="nil"/>
              <w:right w:val="nil"/>
            </w:tcBorders>
            <w:shd w:val="clear" w:color="auto" w:fill="auto"/>
            <w:vAlign w:val="bottom"/>
            <w:hideMark/>
          </w:tcPr>
          <w:p w14:paraId="1127963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1.171 </w:t>
            </w:r>
          </w:p>
        </w:tc>
        <w:tc>
          <w:tcPr>
            <w:tcW w:w="1040" w:type="dxa"/>
            <w:tcBorders>
              <w:top w:val="nil"/>
              <w:left w:val="nil"/>
              <w:bottom w:val="nil"/>
              <w:right w:val="single" w:sz="4" w:space="0" w:color="auto"/>
            </w:tcBorders>
            <w:shd w:val="clear" w:color="auto" w:fill="auto"/>
            <w:vAlign w:val="bottom"/>
            <w:hideMark/>
          </w:tcPr>
          <w:p w14:paraId="36BA8F0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2.798 </w:t>
            </w:r>
          </w:p>
        </w:tc>
      </w:tr>
      <w:tr w:rsidR="003F1C37" w:rsidRPr="003F1C37" w14:paraId="5D1F50BB"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D9694B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De Bilt</w:t>
            </w:r>
          </w:p>
        </w:tc>
        <w:tc>
          <w:tcPr>
            <w:tcW w:w="1500" w:type="dxa"/>
            <w:tcBorders>
              <w:top w:val="nil"/>
              <w:left w:val="nil"/>
              <w:bottom w:val="nil"/>
              <w:right w:val="single" w:sz="4" w:space="0" w:color="auto"/>
            </w:tcBorders>
            <w:shd w:val="clear" w:color="auto" w:fill="auto"/>
            <w:noWrap/>
            <w:vAlign w:val="bottom"/>
            <w:hideMark/>
          </w:tcPr>
          <w:p w14:paraId="54D3B64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59038E9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32.850 </w:t>
            </w:r>
          </w:p>
        </w:tc>
        <w:tc>
          <w:tcPr>
            <w:tcW w:w="700" w:type="dxa"/>
            <w:tcBorders>
              <w:top w:val="nil"/>
              <w:left w:val="nil"/>
              <w:bottom w:val="nil"/>
              <w:right w:val="nil"/>
            </w:tcBorders>
            <w:shd w:val="clear" w:color="auto" w:fill="auto"/>
            <w:noWrap/>
            <w:vAlign w:val="bottom"/>
            <w:hideMark/>
          </w:tcPr>
          <w:p w14:paraId="788117EE"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0,9%</w:t>
            </w:r>
          </w:p>
        </w:tc>
        <w:tc>
          <w:tcPr>
            <w:tcW w:w="880" w:type="dxa"/>
            <w:tcBorders>
              <w:top w:val="nil"/>
              <w:left w:val="nil"/>
              <w:bottom w:val="nil"/>
              <w:right w:val="nil"/>
            </w:tcBorders>
            <w:shd w:val="clear" w:color="auto" w:fill="auto"/>
            <w:vAlign w:val="bottom"/>
            <w:hideMark/>
          </w:tcPr>
          <w:p w14:paraId="0B7FFBB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454 </w:t>
            </w:r>
          </w:p>
        </w:tc>
        <w:tc>
          <w:tcPr>
            <w:tcW w:w="1000" w:type="dxa"/>
            <w:tcBorders>
              <w:top w:val="nil"/>
              <w:left w:val="nil"/>
              <w:bottom w:val="nil"/>
              <w:right w:val="nil"/>
            </w:tcBorders>
            <w:shd w:val="clear" w:color="auto" w:fill="auto"/>
            <w:vAlign w:val="bottom"/>
            <w:hideMark/>
          </w:tcPr>
          <w:p w14:paraId="47E7CDC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1.363 </w:t>
            </w:r>
          </w:p>
        </w:tc>
        <w:tc>
          <w:tcPr>
            <w:tcW w:w="1040" w:type="dxa"/>
            <w:tcBorders>
              <w:top w:val="nil"/>
              <w:left w:val="nil"/>
              <w:bottom w:val="nil"/>
              <w:right w:val="single" w:sz="4" w:space="0" w:color="auto"/>
            </w:tcBorders>
            <w:shd w:val="clear" w:color="auto" w:fill="auto"/>
            <w:vAlign w:val="bottom"/>
            <w:hideMark/>
          </w:tcPr>
          <w:p w14:paraId="22CE3DA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3.255 </w:t>
            </w:r>
          </w:p>
        </w:tc>
      </w:tr>
      <w:tr w:rsidR="003F1C37" w:rsidRPr="003F1C37" w14:paraId="71CC8479"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156910D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De Ronde Venen</w:t>
            </w:r>
          </w:p>
        </w:tc>
        <w:tc>
          <w:tcPr>
            <w:tcW w:w="1500" w:type="dxa"/>
            <w:tcBorders>
              <w:top w:val="nil"/>
              <w:left w:val="nil"/>
              <w:bottom w:val="nil"/>
              <w:right w:val="single" w:sz="4" w:space="0" w:color="auto"/>
            </w:tcBorders>
            <w:shd w:val="clear" w:color="auto" w:fill="auto"/>
            <w:noWrap/>
            <w:vAlign w:val="bottom"/>
            <w:hideMark/>
          </w:tcPr>
          <w:p w14:paraId="7AB6F79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5844671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34.245 </w:t>
            </w:r>
          </w:p>
        </w:tc>
        <w:tc>
          <w:tcPr>
            <w:tcW w:w="700" w:type="dxa"/>
            <w:tcBorders>
              <w:top w:val="nil"/>
              <w:left w:val="nil"/>
              <w:bottom w:val="nil"/>
              <w:right w:val="nil"/>
            </w:tcBorders>
            <w:shd w:val="clear" w:color="auto" w:fill="auto"/>
            <w:noWrap/>
            <w:vAlign w:val="bottom"/>
            <w:hideMark/>
          </w:tcPr>
          <w:p w14:paraId="5334C409"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1,0%</w:t>
            </w:r>
          </w:p>
        </w:tc>
        <w:tc>
          <w:tcPr>
            <w:tcW w:w="880" w:type="dxa"/>
            <w:tcBorders>
              <w:top w:val="nil"/>
              <w:left w:val="nil"/>
              <w:bottom w:val="nil"/>
              <w:right w:val="nil"/>
            </w:tcBorders>
            <w:shd w:val="clear" w:color="auto" w:fill="auto"/>
            <w:vAlign w:val="bottom"/>
            <w:hideMark/>
          </w:tcPr>
          <w:p w14:paraId="2A517AD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473 </w:t>
            </w:r>
          </w:p>
        </w:tc>
        <w:tc>
          <w:tcPr>
            <w:tcW w:w="1000" w:type="dxa"/>
            <w:tcBorders>
              <w:top w:val="nil"/>
              <w:left w:val="nil"/>
              <w:bottom w:val="nil"/>
              <w:right w:val="nil"/>
            </w:tcBorders>
            <w:shd w:val="clear" w:color="auto" w:fill="auto"/>
            <w:vAlign w:val="bottom"/>
            <w:hideMark/>
          </w:tcPr>
          <w:p w14:paraId="12E16CD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1.420 </w:t>
            </w:r>
          </w:p>
        </w:tc>
        <w:tc>
          <w:tcPr>
            <w:tcW w:w="1040" w:type="dxa"/>
            <w:tcBorders>
              <w:top w:val="nil"/>
              <w:left w:val="nil"/>
              <w:bottom w:val="nil"/>
              <w:right w:val="single" w:sz="4" w:space="0" w:color="auto"/>
            </w:tcBorders>
            <w:shd w:val="clear" w:color="auto" w:fill="auto"/>
            <w:vAlign w:val="bottom"/>
            <w:hideMark/>
          </w:tcPr>
          <w:p w14:paraId="6D18F71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3.393 </w:t>
            </w:r>
          </w:p>
        </w:tc>
      </w:tr>
      <w:tr w:rsidR="003F1C37" w:rsidRPr="003F1C37" w14:paraId="18B0C5EB"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E0302A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Den Helder</w:t>
            </w:r>
          </w:p>
        </w:tc>
        <w:tc>
          <w:tcPr>
            <w:tcW w:w="1500" w:type="dxa"/>
            <w:tcBorders>
              <w:top w:val="nil"/>
              <w:left w:val="nil"/>
              <w:bottom w:val="nil"/>
              <w:right w:val="single" w:sz="4" w:space="0" w:color="auto"/>
            </w:tcBorders>
            <w:shd w:val="clear" w:color="auto" w:fill="auto"/>
            <w:noWrap/>
            <w:vAlign w:val="bottom"/>
            <w:hideMark/>
          </w:tcPr>
          <w:p w14:paraId="648A964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33B38C5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44.537 </w:t>
            </w:r>
          </w:p>
        </w:tc>
        <w:tc>
          <w:tcPr>
            <w:tcW w:w="700" w:type="dxa"/>
            <w:tcBorders>
              <w:top w:val="nil"/>
              <w:left w:val="nil"/>
              <w:bottom w:val="nil"/>
              <w:right w:val="nil"/>
            </w:tcBorders>
            <w:shd w:val="clear" w:color="auto" w:fill="auto"/>
            <w:noWrap/>
            <w:vAlign w:val="bottom"/>
            <w:hideMark/>
          </w:tcPr>
          <w:p w14:paraId="0A1CA793"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1,2%</w:t>
            </w:r>
          </w:p>
        </w:tc>
        <w:tc>
          <w:tcPr>
            <w:tcW w:w="880" w:type="dxa"/>
            <w:tcBorders>
              <w:top w:val="nil"/>
              <w:left w:val="nil"/>
              <w:bottom w:val="nil"/>
              <w:right w:val="nil"/>
            </w:tcBorders>
            <w:shd w:val="clear" w:color="auto" w:fill="auto"/>
            <w:vAlign w:val="bottom"/>
            <w:hideMark/>
          </w:tcPr>
          <w:p w14:paraId="0855797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615 </w:t>
            </w:r>
          </w:p>
        </w:tc>
        <w:tc>
          <w:tcPr>
            <w:tcW w:w="1000" w:type="dxa"/>
            <w:tcBorders>
              <w:top w:val="nil"/>
              <w:left w:val="nil"/>
              <w:bottom w:val="nil"/>
              <w:right w:val="nil"/>
            </w:tcBorders>
            <w:shd w:val="clear" w:color="auto" w:fill="auto"/>
            <w:vAlign w:val="bottom"/>
            <w:hideMark/>
          </w:tcPr>
          <w:p w14:paraId="522078A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1.847 </w:t>
            </w:r>
          </w:p>
        </w:tc>
        <w:tc>
          <w:tcPr>
            <w:tcW w:w="1040" w:type="dxa"/>
            <w:tcBorders>
              <w:top w:val="nil"/>
              <w:left w:val="nil"/>
              <w:bottom w:val="nil"/>
              <w:right w:val="single" w:sz="4" w:space="0" w:color="auto"/>
            </w:tcBorders>
            <w:shd w:val="clear" w:color="auto" w:fill="auto"/>
            <w:vAlign w:val="bottom"/>
            <w:hideMark/>
          </w:tcPr>
          <w:p w14:paraId="42C19CF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4.413 </w:t>
            </w:r>
          </w:p>
        </w:tc>
      </w:tr>
      <w:tr w:rsidR="003F1C37" w:rsidRPr="003F1C37" w14:paraId="6B9D066A"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0A595B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lastRenderedPageBreak/>
              <w:t>Diemen</w:t>
            </w:r>
          </w:p>
        </w:tc>
        <w:tc>
          <w:tcPr>
            <w:tcW w:w="1500" w:type="dxa"/>
            <w:tcBorders>
              <w:top w:val="nil"/>
              <w:left w:val="nil"/>
              <w:bottom w:val="nil"/>
              <w:right w:val="single" w:sz="4" w:space="0" w:color="auto"/>
            </w:tcBorders>
            <w:shd w:val="clear" w:color="auto" w:fill="auto"/>
            <w:noWrap/>
            <w:vAlign w:val="bottom"/>
            <w:hideMark/>
          </w:tcPr>
          <w:p w14:paraId="7B6CB8E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14FDB38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23.125 </w:t>
            </w:r>
          </w:p>
        </w:tc>
        <w:tc>
          <w:tcPr>
            <w:tcW w:w="700" w:type="dxa"/>
            <w:tcBorders>
              <w:top w:val="nil"/>
              <w:left w:val="nil"/>
              <w:bottom w:val="nil"/>
              <w:right w:val="nil"/>
            </w:tcBorders>
            <w:shd w:val="clear" w:color="auto" w:fill="auto"/>
            <w:noWrap/>
            <w:vAlign w:val="bottom"/>
            <w:hideMark/>
          </w:tcPr>
          <w:p w14:paraId="63DD44F1"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0,6%</w:t>
            </w:r>
          </w:p>
        </w:tc>
        <w:tc>
          <w:tcPr>
            <w:tcW w:w="880" w:type="dxa"/>
            <w:tcBorders>
              <w:top w:val="nil"/>
              <w:left w:val="nil"/>
              <w:bottom w:val="nil"/>
              <w:right w:val="nil"/>
            </w:tcBorders>
            <w:shd w:val="clear" w:color="auto" w:fill="auto"/>
            <w:vAlign w:val="bottom"/>
            <w:hideMark/>
          </w:tcPr>
          <w:p w14:paraId="3AAAB7E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320 </w:t>
            </w:r>
          </w:p>
        </w:tc>
        <w:tc>
          <w:tcPr>
            <w:tcW w:w="1000" w:type="dxa"/>
            <w:tcBorders>
              <w:top w:val="nil"/>
              <w:left w:val="nil"/>
              <w:bottom w:val="nil"/>
              <w:right w:val="nil"/>
            </w:tcBorders>
            <w:shd w:val="clear" w:color="auto" w:fill="auto"/>
            <w:vAlign w:val="bottom"/>
            <w:hideMark/>
          </w:tcPr>
          <w:p w14:paraId="425DF76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959 </w:t>
            </w:r>
          </w:p>
        </w:tc>
        <w:tc>
          <w:tcPr>
            <w:tcW w:w="1040" w:type="dxa"/>
            <w:tcBorders>
              <w:top w:val="nil"/>
              <w:left w:val="nil"/>
              <w:bottom w:val="nil"/>
              <w:right w:val="single" w:sz="4" w:space="0" w:color="auto"/>
            </w:tcBorders>
            <w:shd w:val="clear" w:color="auto" w:fill="auto"/>
            <w:vAlign w:val="bottom"/>
            <w:hideMark/>
          </w:tcPr>
          <w:p w14:paraId="29E9062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2.291 </w:t>
            </w:r>
          </w:p>
        </w:tc>
      </w:tr>
      <w:tr w:rsidR="003F1C37" w:rsidRPr="003F1C37" w14:paraId="7B4B171E"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20BF5F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Drechterland</w:t>
            </w:r>
          </w:p>
        </w:tc>
        <w:tc>
          <w:tcPr>
            <w:tcW w:w="1500" w:type="dxa"/>
            <w:tcBorders>
              <w:top w:val="nil"/>
              <w:left w:val="nil"/>
              <w:bottom w:val="nil"/>
              <w:right w:val="single" w:sz="4" w:space="0" w:color="auto"/>
            </w:tcBorders>
            <w:shd w:val="clear" w:color="auto" w:fill="auto"/>
            <w:noWrap/>
            <w:vAlign w:val="bottom"/>
            <w:hideMark/>
          </w:tcPr>
          <w:p w14:paraId="1FE7B61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17421E8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15.084 </w:t>
            </w:r>
          </w:p>
        </w:tc>
        <w:tc>
          <w:tcPr>
            <w:tcW w:w="700" w:type="dxa"/>
            <w:tcBorders>
              <w:top w:val="nil"/>
              <w:left w:val="nil"/>
              <w:bottom w:val="nil"/>
              <w:right w:val="nil"/>
            </w:tcBorders>
            <w:shd w:val="clear" w:color="auto" w:fill="auto"/>
            <w:noWrap/>
            <w:vAlign w:val="bottom"/>
            <w:hideMark/>
          </w:tcPr>
          <w:p w14:paraId="5E9AD18D"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0,4%</w:t>
            </w:r>
          </w:p>
        </w:tc>
        <w:tc>
          <w:tcPr>
            <w:tcW w:w="880" w:type="dxa"/>
            <w:tcBorders>
              <w:top w:val="nil"/>
              <w:left w:val="nil"/>
              <w:bottom w:val="nil"/>
              <w:right w:val="nil"/>
            </w:tcBorders>
            <w:shd w:val="clear" w:color="auto" w:fill="auto"/>
            <w:vAlign w:val="bottom"/>
            <w:hideMark/>
          </w:tcPr>
          <w:p w14:paraId="7465EF4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208 </w:t>
            </w:r>
          </w:p>
        </w:tc>
        <w:tc>
          <w:tcPr>
            <w:tcW w:w="1000" w:type="dxa"/>
            <w:tcBorders>
              <w:top w:val="nil"/>
              <w:left w:val="nil"/>
              <w:bottom w:val="nil"/>
              <w:right w:val="nil"/>
            </w:tcBorders>
            <w:shd w:val="clear" w:color="auto" w:fill="auto"/>
            <w:vAlign w:val="bottom"/>
            <w:hideMark/>
          </w:tcPr>
          <w:p w14:paraId="0598731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626 </w:t>
            </w:r>
          </w:p>
        </w:tc>
        <w:tc>
          <w:tcPr>
            <w:tcW w:w="1040" w:type="dxa"/>
            <w:tcBorders>
              <w:top w:val="nil"/>
              <w:left w:val="nil"/>
              <w:bottom w:val="nil"/>
              <w:right w:val="single" w:sz="4" w:space="0" w:color="auto"/>
            </w:tcBorders>
            <w:shd w:val="clear" w:color="auto" w:fill="auto"/>
            <w:vAlign w:val="bottom"/>
            <w:hideMark/>
          </w:tcPr>
          <w:p w14:paraId="4483471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1.495 </w:t>
            </w:r>
          </w:p>
        </w:tc>
      </w:tr>
      <w:tr w:rsidR="003F1C37" w:rsidRPr="003F1C37" w14:paraId="54F0653A"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AC2CAF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Dronten</w:t>
            </w:r>
          </w:p>
        </w:tc>
        <w:tc>
          <w:tcPr>
            <w:tcW w:w="1500" w:type="dxa"/>
            <w:tcBorders>
              <w:top w:val="nil"/>
              <w:left w:val="nil"/>
              <w:bottom w:val="nil"/>
              <w:right w:val="single" w:sz="4" w:space="0" w:color="auto"/>
            </w:tcBorders>
            <w:shd w:val="clear" w:color="auto" w:fill="auto"/>
            <w:noWrap/>
            <w:vAlign w:val="bottom"/>
            <w:hideMark/>
          </w:tcPr>
          <w:p w14:paraId="6DF1435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Flevoland</w:t>
            </w:r>
          </w:p>
        </w:tc>
        <w:tc>
          <w:tcPr>
            <w:tcW w:w="1180" w:type="dxa"/>
            <w:tcBorders>
              <w:top w:val="nil"/>
              <w:left w:val="nil"/>
              <w:bottom w:val="nil"/>
              <w:right w:val="single" w:sz="4" w:space="0" w:color="auto"/>
            </w:tcBorders>
            <w:shd w:val="clear" w:color="auto" w:fill="auto"/>
            <w:noWrap/>
            <w:vAlign w:val="bottom"/>
            <w:hideMark/>
          </w:tcPr>
          <w:p w14:paraId="5BB04F3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30.967 </w:t>
            </w:r>
          </w:p>
        </w:tc>
        <w:tc>
          <w:tcPr>
            <w:tcW w:w="700" w:type="dxa"/>
            <w:tcBorders>
              <w:top w:val="nil"/>
              <w:left w:val="nil"/>
              <w:bottom w:val="nil"/>
              <w:right w:val="nil"/>
            </w:tcBorders>
            <w:shd w:val="clear" w:color="auto" w:fill="auto"/>
            <w:noWrap/>
            <w:vAlign w:val="bottom"/>
            <w:hideMark/>
          </w:tcPr>
          <w:p w14:paraId="15DCEF0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0,9%</w:t>
            </w:r>
          </w:p>
        </w:tc>
        <w:tc>
          <w:tcPr>
            <w:tcW w:w="880" w:type="dxa"/>
            <w:tcBorders>
              <w:top w:val="nil"/>
              <w:left w:val="nil"/>
              <w:bottom w:val="nil"/>
              <w:right w:val="nil"/>
            </w:tcBorders>
            <w:shd w:val="clear" w:color="auto" w:fill="auto"/>
            <w:vAlign w:val="bottom"/>
            <w:hideMark/>
          </w:tcPr>
          <w:p w14:paraId="57CB339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428 </w:t>
            </w:r>
          </w:p>
        </w:tc>
        <w:tc>
          <w:tcPr>
            <w:tcW w:w="1000" w:type="dxa"/>
            <w:tcBorders>
              <w:top w:val="nil"/>
              <w:left w:val="nil"/>
              <w:bottom w:val="nil"/>
              <w:right w:val="nil"/>
            </w:tcBorders>
            <w:shd w:val="clear" w:color="auto" w:fill="auto"/>
            <w:vAlign w:val="bottom"/>
            <w:hideMark/>
          </w:tcPr>
          <w:p w14:paraId="2987035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1.285 </w:t>
            </w:r>
          </w:p>
        </w:tc>
        <w:tc>
          <w:tcPr>
            <w:tcW w:w="1040" w:type="dxa"/>
            <w:tcBorders>
              <w:top w:val="nil"/>
              <w:left w:val="nil"/>
              <w:bottom w:val="nil"/>
              <w:right w:val="single" w:sz="4" w:space="0" w:color="auto"/>
            </w:tcBorders>
            <w:shd w:val="clear" w:color="auto" w:fill="auto"/>
            <w:vAlign w:val="bottom"/>
            <w:hideMark/>
          </w:tcPr>
          <w:p w14:paraId="3B98187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3.068 </w:t>
            </w:r>
          </w:p>
        </w:tc>
      </w:tr>
      <w:tr w:rsidR="003F1C37" w:rsidRPr="003F1C37" w14:paraId="29B898FB"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2568388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Edam-Volendam</w:t>
            </w:r>
          </w:p>
        </w:tc>
        <w:tc>
          <w:tcPr>
            <w:tcW w:w="1500" w:type="dxa"/>
            <w:tcBorders>
              <w:top w:val="nil"/>
              <w:left w:val="nil"/>
              <w:bottom w:val="nil"/>
              <w:right w:val="single" w:sz="4" w:space="0" w:color="auto"/>
            </w:tcBorders>
            <w:shd w:val="clear" w:color="auto" w:fill="auto"/>
            <w:noWrap/>
            <w:vAlign w:val="bottom"/>
            <w:hideMark/>
          </w:tcPr>
          <w:p w14:paraId="2A4DD12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065CFEB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27.830 </w:t>
            </w:r>
          </w:p>
        </w:tc>
        <w:tc>
          <w:tcPr>
            <w:tcW w:w="700" w:type="dxa"/>
            <w:tcBorders>
              <w:top w:val="nil"/>
              <w:left w:val="nil"/>
              <w:bottom w:val="nil"/>
              <w:right w:val="nil"/>
            </w:tcBorders>
            <w:shd w:val="clear" w:color="auto" w:fill="auto"/>
            <w:noWrap/>
            <w:vAlign w:val="bottom"/>
            <w:hideMark/>
          </w:tcPr>
          <w:p w14:paraId="38A55607"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0,8%</w:t>
            </w:r>
          </w:p>
        </w:tc>
        <w:tc>
          <w:tcPr>
            <w:tcW w:w="880" w:type="dxa"/>
            <w:tcBorders>
              <w:top w:val="nil"/>
              <w:left w:val="nil"/>
              <w:bottom w:val="nil"/>
              <w:right w:val="nil"/>
            </w:tcBorders>
            <w:shd w:val="clear" w:color="auto" w:fill="auto"/>
            <w:vAlign w:val="bottom"/>
            <w:hideMark/>
          </w:tcPr>
          <w:p w14:paraId="39E21B5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385 </w:t>
            </w:r>
          </w:p>
        </w:tc>
        <w:tc>
          <w:tcPr>
            <w:tcW w:w="1000" w:type="dxa"/>
            <w:tcBorders>
              <w:top w:val="nil"/>
              <w:left w:val="nil"/>
              <w:bottom w:val="nil"/>
              <w:right w:val="nil"/>
            </w:tcBorders>
            <w:shd w:val="clear" w:color="auto" w:fill="auto"/>
            <w:vAlign w:val="bottom"/>
            <w:hideMark/>
          </w:tcPr>
          <w:p w14:paraId="323EC4E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1.154 </w:t>
            </w:r>
          </w:p>
        </w:tc>
        <w:tc>
          <w:tcPr>
            <w:tcW w:w="1040" w:type="dxa"/>
            <w:tcBorders>
              <w:top w:val="nil"/>
              <w:left w:val="nil"/>
              <w:bottom w:val="nil"/>
              <w:right w:val="single" w:sz="4" w:space="0" w:color="auto"/>
            </w:tcBorders>
            <w:shd w:val="clear" w:color="auto" w:fill="auto"/>
            <w:vAlign w:val="bottom"/>
            <w:hideMark/>
          </w:tcPr>
          <w:p w14:paraId="2D156B0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2.758 </w:t>
            </w:r>
          </w:p>
        </w:tc>
      </w:tr>
      <w:tr w:rsidR="003F1C37" w:rsidRPr="003F1C37" w14:paraId="77018C1F"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29D1A50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Eemnes</w:t>
            </w:r>
          </w:p>
        </w:tc>
        <w:tc>
          <w:tcPr>
            <w:tcW w:w="1500" w:type="dxa"/>
            <w:tcBorders>
              <w:top w:val="nil"/>
              <w:left w:val="nil"/>
              <w:bottom w:val="nil"/>
              <w:right w:val="single" w:sz="4" w:space="0" w:color="auto"/>
            </w:tcBorders>
            <w:shd w:val="clear" w:color="auto" w:fill="auto"/>
            <w:noWrap/>
            <w:vAlign w:val="bottom"/>
            <w:hideMark/>
          </w:tcPr>
          <w:p w14:paraId="6AB5FC0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6293632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6.951 </w:t>
            </w:r>
          </w:p>
        </w:tc>
        <w:tc>
          <w:tcPr>
            <w:tcW w:w="700" w:type="dxa"/>
            <w:tcBorders>
              <w:top w:val="nil"/>
              <w:left w:val="nil"/>
              <w:bottom w:val="nil"/>
              <w:right w:val="nil"/>
            </w:tcBorders>
            <w:shd w:val="clear" w:color="auto" w:fill="auto"/>
            <w:noWrap/>
            <w:vAlign w:val="bottom"/>
            <w:hideMark/>
          </w:tcPr>
          <w:p w14:paraId="4B4EABC0"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0,2%</w:t>
            </w:r>
          </w:p>
        </w:tc>
        <w:tc>
          <w:tcPr>
            <w:tcW w:w="880" w:type="dxa"/>
            <w:tcBorders>
              <w:top w:val="nil"/>
              <w:left w:val="nil"/>
              <w:bottom w:val="nil"/>
              <w:right w:val="nil"/>
            </w:tcBorders>
            <w:shd w:val="clear" w:color="auto" w:fill="auto"/>
            <w:vAlign w:val="bottom"/>
            <w:hideMark/>
          </w:tcPr>
          <w:p w14:paraId="241FB88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96 </w:t>
            </w:r>
          </w:p>
        </w:tc>
        <w:tc>
          <w:tcPr>
            <w:tcW w:w="1000" w:type="dxa"/>
            <w:tcBorders>
              <w:top w:val="nil"/>
              <w:left w:val="nil"/>
              <w:bottom w:val="nil"/>
              <w:right w:val="nil"/>
            </w:tcBorders>
            <w:shd w:val="clear" w:color="auto" w:fill="auto"/>
            <w:vAlign w:val="bottom"/>
            <w:hideMark/>
          </w:tcPr>
          <w:p w14:paraId="6FF6A30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288 </w:t>
            </w:r>
          </w:p>
        </w:tc>
        <w:tc>
          <w:tcPr>
            <w:tcW w:w="1040" w:type="dxa"/>
            <w:tcBorders>
              <w:top w:val="nil"/>
              <w:left w:val="nil"/>
              <w:bottom w:val="nil"/>
              <w:right w:val="single" w:sz="4" w:space="0" w:color="auto"/>
            </w:tcBorders>
            <w:shd w:val="clear" w:color="auto" w:fill="auto"/>
            <w:vAlign w:val="bottom"/>
            <w:hideMark/>
          </w:tcPr>
          <w:p w14:paraId="63D82B4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689 </w:t>
            </w:r>
          </w:p>
        </w:tc>
      </w:tr>
      <w:tr w:rsidR="003F1C37" w:rsidRPr="003F1C37" w14:paraId="5A59A9C9"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1169841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Enkhuizen</w:t>
            </w:r>
          </w:p>
        </w:tc>
        <w:tc>
          <w:tcPr>
            <w:tcW w:w="1500" w:type="dxa"/>
            <w:tcBorders>
              <w:top w:val="nil"/>
              <w:left w:val="nil"/>
              <w:bottom w:val="nil"/>
              <w:right w:val="single" w:sz="4" w:space="0" w:color="auto"/>
            </w:tcBorders>
            <w:shd w:val="clear" w:color="auto" w:fill="auto"/>
            <w:noWrap/>
            <w:vAlign w:val="bottom"/>
            <w:hideMark/>
          </w:tcPr>
          <w:p w14:paraId="17FD1F8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64AF483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14.541 </w:t>
            </w:r>
          </w:p>
        </w:tc>
        <w:tc>
          <w:tcPr>
            <w:tcW w:w="700" w:type="dxa"/>
            <w:tcBorders>
              <w:top w:val="nil"/>
              <w:left w:val="nil"/>
              <w:bottom w:val="nil"/>
              <w:right w:val="nil"/>
            </w:tcBorders>
            <w:shd w:val="clear" w:color="auto" w:fill="auto"/>
            <w:noWrap/>
            <w:vAlign w:val="bottom"/>
            <w:hideMark/>
          </w:tcPr>
          <w:p w14:paraId="337285CE"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0,4%</w:t>
            </w:r>
          </w:p>
        </w:tc>
        <w:tc>
          <w:tcPr>
            <w:tcW w:w="880" w:type="dxa"/>
            <w:tcBorders>
              <w:top w:val="nil"/>
              <w:left w:val="nil"/>
              <w:bottom w:val="nil"/>
              <w:right w:val="nil"/>
            </w:tcBorders>
            <w:shd w:val="clear" w:color="auto" w:fill="auto"/>
            <w:vAlign w:val="bottom"/>
            <w:hideMark/>
          </w:tcPr>
          <w:p w14:paraId="4B83F42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201 </w:t>
            </w:r>
          </w:p>
        </w:tc>
        <w:tc>
          <w:tcPr>
            <w:tcW w:w="1000" w:type="dxa"/>
            <w:tcBorders>
              <w:top w:val="nil"/>
              <w:left w:val="nil"/>
              <w:bottom w:val="nil"/>
              <w:right w:val="nil"/>
            </w:tcBorders>
            <w:shd w:val="clear" w:color="auto" w:fill="auto"/>
            <w:vAlign w:val="bottom"/>
            <w:hideMark/>
          </w:tcPr>
          <w:p w14:paraId="203B08A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603 </w:t>
            </w:r>
          </w:p>
        </w:tc>
        <w:tc>
          <w:tcPr>
            <w:tcW w:w="1040" w:type="dxa"/>
            <w:tcBorders>
              <w:top w:val="nil"/>
              <w:left w:val="nil"/>
              <w:bottom w:val="nil"/>
              <w:right w:val="single" w:sz="4" w:space="0" w:color="auto"/>
            </w:tcBorders>
            <w:shd w:val="clear" w:color="auto" w:fill="auto"/>
            <w:vAlign w:val="bottom"/>
            <w:hideMark/>
          </w:tcPr>
          <w:p w14:paraId="13C7281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1.441 </w:t>
            </w:r>
          </w:p>
        </w:tc>
      </w:tr>
      <w:tr w:rsidR="003F1C37" w:rsidRPr="003F1C37" w14:paraId="01915674"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CD35D0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Gooise Meren</w:t>
            </w:r>
          </w:p>
        </w:tc>
        <w:tc>
          <w:tcPr>
            <w:tcW w:w="1500" w:type="dxa"/>
            <w:tcBorders>
              <w:top w:val="nil"/>
              <w:left w:val="nil"/>
              <w:bottom w:val="nil"/>
              <w:right w:val="single" w:sz="4" w:space="0" w:color="auto"/>
            </w:tcBorders>
            <w:shd w:val="clear" w:color="auto" w:fill="auto"/>
            <w:noWrap/>
            <w:vAlign w:val="bottom"/>
            <w:hideMark/>
          </w:tcPr>
          <w:p w14:paraId="13A4F40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3A321DD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43.056 </w:t>
            </w:r>
          </w:p>
        </w:tc>
        <w:tc>
          <w:tcPr>
            <w:tcW w:w="700" w:type="dxa"/>
            <w:tcBorders>
              <w:top w:val="nil"/>
              <w:left w:val="nil"/>
              <w:bottom w:val="nil"/>
              <w:right w:val="nil"/>
            </w:tcBorders>
            <w:shd w:val="clear" w:color="auto" w:fill="auto"/>
            <w:noWrap/>
            <w:vAlign w:val="bottom"/>
            <w:hideMark/>
          </w:tcPr>
          <w:p w14:paraId="2FAE7EA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1,2%</w:t>
            </w:r>
          </w:p>
        </w:tc>
        <w:tc>
          <w:tcPr>
            <w:tcW w:w="880" w:type="dxa"/>
            <w:tcBorders>
              <w:top w:val="nil"/>
              <w:left w:val="nil"/>
              <w:bottom w:val="nil"/>
              <w:right w:val="nil"/>
            </w:tcBorders>
            <w:shd w:val="clear" w:color="auto" w:fill="auto"/>
            <w:vAlign w:val="bottom"/>
            <w:hideMark/>
          </w:tcPr>
          <w:p w14:paraId="543E323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595 </w:t>
            </w:r>
          </w:p>
        </w:tc>
        <w:tc>
          <w:tcPr>
            <w:tcW w:w="1000" w:type="dxa"/>
            <w:tcBorders>
              <w:top w:val="nil"/>
              <w:left w:val="nil"/>
              <w:bottom w:val="nil"/>
              <w:right w:val="nil"/>
            </w:tcBorders>
            <w:shd w:val="clear" w:color="auto" w:fill="auto"/>
            <w:vAlign w:val="bottom"/>
            <w:hideMark/>
          </w:tcPr>
          <w:p w14:paraId="711A89B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1.786 </w:t>
            </w:r>
          </w:p>
        </w:tc>
        <w:tc>
          <w:tcPr>
            <w:tcW w:w="1040" w:type="dxa"/>
            <w:tcBorders>
              <w:top w:val="nil"/>
              <w:left w:val="nil"/>
              <w:bottom w:val="nil"/>
              <w:right w:val="single" w:sz="4" w:space="0" w:color="auto"/>
            </w:tcBorders>
            <w:shd w:val="clear" w:color="auto" w:fill="auto"/>
            <w:vAlign w:val="bottom"/>
            <w:hideMark/>
          </w:tcPr>
          <w:p w14:paraId="2221B10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4.266 </w:t>
            </w:r>
          </w:p>
        </w:tc>
      </w:tr>
      <w:tr w:rsidR="003F1C37" w:rsidRPr="003F1C37" w14:paraId="77BADB20"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FAE4BC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Haarlem</w:t>
            </w:r>
          </w:p>
        </w:tc>
        <w:tc>
          <w:tcPr>
            <w:tcW w:w="1500" w:type="dxa"/>
            <w:tcBorders>
              <w:top w:val="nil"/>
              <w:left w:val="nil"/>
              <w:bottom w:val="nil"/>
              <w:right w:val="single" w:sz="4" w:space="0" w:color="auto"/>
            </w:tcBorders>
            <w:shd w:val="clear" w:color="auto" w:fill="auto"/>
            <w:noWrap/>
            <w:vAlign w:val="bottom"/>
            <w:hideMark/>
          </w:tcPr>
          <w:p w14:paraId="1C9CD3A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477076D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125.776 </w:t>
            </w:r>
          </w:p>
        </w:tc>
        <w:tc>
          <w:tcPr>
            <w:tcW w:w="700" w:type="dxa"/>
            <w:tcBorders>
              <w:top w:val="nil"/>
              <w:left w:val="nil"/>
              <w:bottom w:val="nil"/>
              <w:right w:val="nil"/>
            </w:tcBorders>
            <w:shd w:val="clear" w:color="auto" w:fill="auto"/>
            <w:noWrap/>
            <w:vAlign w:val="bottom"/>
            <w:hideMark/>
          </w:tcPr>
          <w:p w14:paraId="408D349C"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3,5%</w:t>
            </w:r>
          </w:p>
        </w:tc>
        <w:tc>
          <w:tcPr>
            <w:tcW w:w="880" w:type="dxa"/>
            <w:tcBorders>
              <w:top w:val="nil"/>
              <w:left w:val="nil"/>
              <w:bottom w:val="nil"/>
              <w:right w:val="nil"/>
            </w:tcBorders>
            <w:shd w:val="clear" w:color="auto" w:fill="auto"/>
            <w:vAlign w:val="bottom"/>
            <w:hideMark/>
          </w:tcPr>
          <w:p w14:paraId="0428183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1.738 </w:t>
            </w:r>
          </w:p>
        </w:tc>
        <w:tc>
          <w:tcPr>
            <w:tcW w:w="1000" w:type="dxa"/>
            <w:tcBorders>
              <w:top w:val="nil"/>
              <w:left w:val="nil"/>
              <w:bottom w:val="nil"/>
              <w:right w:val="nil"/>
            </w:tcBorders>
            <w:shd w:val="clear" w:color="auto" w:fill="auto"/>
            <w:vAlign w:val="bottom"/>
            <w:hideMark/>
          </w:tcPr>
          <w:p w14:paraId="1135E42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5.217 </w:t>
            </w:r>
          </w:p>
        </w:tc>
        <w:tc>
          <w:tcPr>
            <w:tcW w:w="1040" w:type="dxa"/>
            <w:tcBorders>
              <w:top w:val="nil"/>
              <w:left w:val="nil"/>
              <w:bottom w:val="nil"/>
              <w:right w:val="single" w:sz="4" w:space="0" w:color="auto"/>
            </w:tcBorders>
            <w:shd w:val="clear" w:color="auto" w:fill="auto"/>
            <w:vAlign w:val="bottom"/>
            <w:hideMark/>
          </w:tcPr>
          <w:p w14:paraId="5B7D79E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12.463 </w:t>
            </w:r>
          </w:p>
        </w:tc>
      </w:tr>
      <w:tr w:rsidR="003F1C37" w:rsidRPr="003F1C37" w14:paraId="0A5B8588"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67541A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Haarlemmermeer</w:t>
            </w:r>
          </w:p>
        </w:tc>
        <w:tc>
          <w:tcPr>
            <w:tcW w:w="1500" w:type="dxa"/>
            <w:tcBorders>
              <w:top w:val="nil"/>
              <w:left w:val="nil"/>
              <w:bottom w:val="nil"/>
              <w:right w:val="single" w:sz="4" w:space="0" w:color="auto"/>
            </w:tcBorders>
            <w:shd w:val="clear" w:color="auto" w:fill="auto"/>
            <w:noWrap/>
            <w:vAlign w:val="bottom"/>
            <w:hideMark/>
          </w:tcPr>
          <w:p w14:paraId="6B64743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07CB45F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116.993 </w:t>
            </w:r>
          </w:p>
        </w:tc>
        <w:tc>
          <w:tcPr>
            <w:tcW w:w="700" w:type="dxa"/>
            <w:tcBorders>
              <w:top w:val="nil"/>
              <w:left w:val="nil"/>
              <w:bottom w:val="nil"/>
              <w:right w:val="nil"/>
            </w:tcBorders>
            <w:shd w:val="clear" w:color="auto" w:fill="auto"/>
            <w:noWrap/>
            <w:vAlign w:val="bottom"/>
            <w:hideMark/>
          </w:tcPr>
          <w:p w14:paraId="1C46C7A7"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3,3%</w:t>
            </w:r>
          </w:p>
        </w:tc>
        <w:tc>
          <w:tcPr>
            <w:tcW w:w="880" w:type="dxa"/>
            <w:tcBorders>
              <w:top w:val="nil"/>
              <w:left w:val="nil"/>
              <w:bottom w:val="nil"/>
              <w:right w:val="nil"/>
            </w:tcBorders>
            <w:shd w:val="clear" w:color="auto" w:fill="auto"/>
            <w:vAlign w:val="bottom"/>
            <w:hideMark/>
          </w:tcPr>
          <w:p w14:paraId="626625B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1.617 </w:t>
            </w:r>
          </w:p>
        </w:tc>
        <w:tc>
          <w:tcPr>
            <w:tcW w:w="1000" w:type="dxa"/>
            <w:tcBorders>
              <w:top w:val="nil"/>
              <w:left w:val="nil"/>
              <w:bottom w:val="nil"/>
              <w:right w:val="nil"/>
            </w:tcBorders>
            <w:shd w:val="clear" w:color="auto" w:fill="auto"/>
            <w:vAlign w:val="bottom"/>
            <w:hideMark/>
          </w:tcPr>
          <w:p w14:paraId="03C295D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4.853 </w:t>
            </w:r>
          </w:p>
        </w:tc>
        <w:tc>
          <w:tcPr>
            <w:tcW w:w="1040" w:type="dxa"/>
            <w:tcBorders>
              <w:top w:val="nil"/>
              <w:left w:val="nil"/>
              <w:bottom w:val="nil"/>
              <w:right w:val="single" w:sz="4" w:space="0" w:color="auto"/>
            </w:tcBorders>
            <w:shd w:val="clear" w:color="auto" w:fill="auto"/>
            <w:vAlign w:val="bottom"/>
            <w:hideMark/>
          </w:tcPr>
          <w:p w14:paraId="5AFBD65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11.593 </w:t>
            </w:r>
          </w:p>
        </w:tc>
      </w:tr>
      <w:tr w:rsidR="003F1C37" w:rsidRPr="003F1C37" w14:paraId="3F307A61"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741E5A6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Heemskerk</w:t>
            </w:r>
          </w:p>
        </w:tc>
        <w:tc>
          <w:tcPr>
            <w:tcW w:w="1500" w:type="dxa"/>
            <w:tcBorders>
              <w:top w:val="nil"/>
              <w:left w:val="nil"/>
              <w:bottom w:val="nil"/>
              <w:right w:val="single" w:sz="4" w:space="0" w:color="auto"/>
            </w:tcBorders>
            <w:shd w:val="clear" w:color="auto" w:fill="auto"/>
            <w:noWrap/>
            <w:vAlign w:val="bottom"/>
            <w:hideMark/>
          </w:tcPr>
          <w:p w14:paraId="4B7F948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78731C1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30.938 </w:t>
            </w:r>
          </w:p>
        </w:tc>
        <w:tc>
          <w:tcPr>
            <w:tcW w:w="700" w:type="dxa"/>
            <w:tcBorders>
              <w:top w:val="nil"/>
              <w:left w:val="nil"/>
              <w:bottom w:val="nil"/>
              <w:right w:val="nil"/>
            </w:tcBorders>
            <w:shd w:val="clear" w:color="auto" w:fill="auto"/>
            <w:noWrap/>
            <w:vAlign w:val="bottom"/>
            <w:hideMark/>
          </w:tcPr>
          <w:p w14:paraId="730AB9DC"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0,9%</w:t>
            </w:r>
          </w:p>
        </w:tc>
        <w:tc>
          <w:tcPr>
            <w:tcW w:w="880" w:type="dxa"/>
            <w:tcBorders>
              <w:top w:val="nil"/>
              <w:left w:val="nil"/>
              <w:bottom w:val="nil"/>
              <w:right w:val="nil"/>
            </w:tcBorders>
            <w:shd w:val="clear" w:color="auto" w:fill="auto"/>
            <w:vAlign w:val="bottom"/>
            <w:hideMark/>
          </w:tcPr>
          <w:p w14:paraId="7D891CA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428 </w:t>
            </w:r>
          </w:p>
        </w:tc>
        <w:tc>
          <w:tcPr>
            <w:tcW w:w="1000" w:type="dxa"/>
            <w:tcBorders>
              <w:top w:val="nil"/>
              <w:left w:val="nil"/>
              <w:bottom w:val="nil"/>
              <w:right w:val="nil"/>
            </w:tcBorders>
            <w:shd w:val="clear" w:color="auto" w:fill="auto"/>
            <w:vAlign w:val="bottom"/>
            <w:hideMark/>
          </w:tcPr>
          <w:p w14:paraId="101C92D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1.283 </w:t>
            </w:r>
          </w:p>
        </w:tc>
        <w:tc>
          <w:tcPr>
            <w:tcW w:w="1040" w:type="dxa"/>
            <w:tcBorders>
              <w:top w:val="nil"/>
              <w:left w:val="nil"/>
              <w:bottom w:val="nil"/>
              <w:right w:val="single" w:sz="4" w:space="0" w:color="auto"/>
            </w:tcBorders>
            <w:shd w:val="clear" w:color="auto" w:fill="auto"/>
            <w:vAlign w:val="bottom"/>
            <w:hideMark/>
          </w:tcPr>
          <w:p w14:paraId="33397B0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3.066 </w:t>
            </w:r>
          </w:p>
        </w:tc>
      </w:tr>
      <w:tr w:rsidR="003F1C37" w:rsidRPr="003F1C37" w14:paraId="3FE9A7CF"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1D3AAB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Heemstede</w:t>
            </w:r>
          </w:p>
        </w:tc>
        <w:tc>
          <w:tcPr>
            <w:tcW w:w="1500" w:type="dxa"/>
            <w:tcBorders>
              <w:top w:val="nil"/>
              <w:left w:val="nil"/>
              <w:bottom w:val="nil"/>
              <w:right w:val="single" w:sz="4" w:space="0" w:color="auto"/>
            </w:tcBorders>
            <w:shd w:val="clear" w:color="auto" w:fill="auto"/>
            <w:noWrap/>
            <w:vAlign w:val="bottom"/>
            <w:hideMark/>
          </w:tcPr>
          <w:p w14:paraId="7049E3C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5DB468A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20.838 </w:t>
            </w:r>
          </w:p>
        </w:tc>
        <w:tc>
          <w:tcPr>
            <w:tcW w:w="700" w:type="dxa"/>
            <w:tcBorders>
              <w:top w:val="nil"/>
              <w:left w:val="nil"/>
              <w:bottom w:val="nil"/>
              <w:right w:val="nil"/>
            </w:tcBorders>
            <w:shd w:val="clear" w:color="auto" w:fill="auto"/>
            <w:noWrap/>
            <w:vAlign w:val="bottom"/>
            <w:hideMark/>
          </w:tcPr>
          <w:p w14:paraId="6D202915"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0,6%</w:t>
            </w:r>
          </w:p>
        </w:tc>
        <w:tc>
          <w:tcPr>
            <w:tcW w:w="880" w:type="dxa"/>
            <w:tcBorders>
              <w:top w:val="nil"/>
              <w:left w:val="nil"/>
              <w:bottom w:val="nil"/>
              <w:right w:val="nil"/>
            </w:tcBorders>
            <w:shd w:val="clear" w:color="auto" w:fill="auto"/>
            <w:vAlign w:val="bottom"/>
            <w:hideMark/>
          </w:tcPr>
          <w:p w14:paraId="05D4F6F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288 </w:t>
            </w:r>
          </w:p>
        </w:tc>
        <w:tc>
          <w:tcPr>
            <w:tcW w:w="1000" w:type="dxa"/>
            <w:tcBorders>
              <w:top w:val="nil"/>
              <w:left w:val="nil"/>
              <w:bottom w:val="nil"/>
              <w:right w:val="nil"/>
            </w:tcBorders>
            <w:shd w:val="clear" w:color="auto" w:fill="auto"/>
            <w:vAlign w:val="bottom"/>
            <w:hideMark/>
          </w:tcPr>
          <w:p w14:paraId="5613A17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864 </w:t>
            </w:r>
          </w:p>
        </w:tc>
        <w:tc>
          <w:tcPr>
            <w:tcW w:w="1040" w:type="dxa"/>
            <w:tcBorders>
              <w:top w:val="nil"/>
              <w:left w:val="nil"/>
              <w:bottom w:val="nil"/>
              <w:right w:val="single" w:sz="4" w:space="0" w:color="auto"/>
            </w:tcBorders>
            <w:shd w:val="clear" w:color="auto" w:fill="auto"/>
            <w:vAlign w:val="bottom"/>
            <w:hideMark/>
          </w:tcPr>
          <w:p w14:paraId="4A2671D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2.065 </w:t>
            </w:r>
          </w:p>
        </w:tc>
      </w:tr>
      <w:tr w:rsidR="003F1C37" w:rsidRPr="003F1C37" w14:paraId="5C6D6E5A"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1D7893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Heerhugowaard</w:t>
            </w:r>
          </w:p>
        </w:tc>
        <w:tc>
          <w:tcPr>
            <w:tcW w:w="1500" w:type="dxa"/>
            <w:tcBorders>
              <w:top w:val="nil"/>
              <w:left w:val="nil"/>
              <w:bottom w:val="nil"/>
              <w:right w:val="single" w:sz="4" w:space="0" w:color="auto"/>
            </w:tcBorders>
            <w:shd w:val="clear" w:color="auto" w:fill="auto"/>
            <w:noWrap/>
            <w:vAlign w:val="bottom"/>
            <w:hideMark/>
          </w:tcPr>
          <w:p w14:paraId="44B7D4B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5B68C3E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42.579 </w:t>
            </w:r>
          </w:p>
        </w:tc>
        <w:tc>
          <w:tcPr>
            <w:tcW w:w="700" w:type="dxa"/>
            <w:tcBorders>
              <w:top w:val="nil"/>
              <w:left w:val="nil"/>
              <w:bottom w:val="nil"/>
              <w:right w:val="nil"/>
            </w:tcBorders>
            <w:shd w:val="clear" w:color="auto" w:fill="auto"/>
            <w:noWrap/>
            <w:vAlign w:val="bottom"/>
            <w:hideMark/>
          </w:tcPr>
          <w:p w14:paraId="5D316291"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1,2%</w:t>
            </w:r>
          </w:p>
        </w:tc>
        <w:tc>
          <w:tcPr>
            <w:tcW w:w="880" w:type="dxa"/>
            <w:tcBorders>
              <w:top w:val="nil"/>
              <w:left w:val="nil"/>
              <w:bottom w:val="nil"/>
              <w:right w:val="nil"/>
            </w:tcBorders>
            <w:shd w:val="clear" w:color="auto" w:fill="auto"/>
            <w:vAlign w:val="bottom"/>
            <w:hideMark/>
          </w:tcPr>
          <w:p w14:paraId="4A9F3E1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588 </w:t>
            </w:r>
          </w:p>
        </w:tc>
        <w:tc>
          <w:tcPr>
            <w:tcW w:w="1000" w:type="dxa"/>
            <w:tcBorders>
              <w:top w:val="nil"/>
              <w:left w:val="nil"/>
              <w:bottom w:val="nil"/>
              <w:right w:val="nil"/>
            </w:tcBorders>
            <w:shd w:val="clear" w:color="auto" w:fill="auto"/>
            <w:vAlign w:val="bottom"/>
            <w:hideMark/>
          </w:tcPr>
          <w:p w14:paraId="5A1E34B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1.766 </w:t>
            </w:r>
          </w:p>
        </w:tc>
        <w:tc>
          <w:tcPr>
            <w:tcW w:w="1040" w:type="dxa"/>
            <w:tcBorders>
              <w:top w:val="nil"/>
              <w:left w:val="nil"/>
              <w:bottom w:val="nil"/>
              <w:right w:val="single" w:sz="4" w:space="0" w:color="auto"/>
            </w:tcBorders>
            <w:shd w:val="clear" w:color="auto" w:fill="auto"/>
            <w:vAlign w:val="bottom"/>
            <w:hideMark/>
          </w:tcPr>
          <w:p w14:paraId="53D98FC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4.219 </w:t>
            </w:r>
          </w:p>
        </w:tc>
      </w:tr>
      <w:tr w:rsidR="003F1C37" w:rsidRPr="003F1C37" w14:paraId="08EBFA00"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6D2F613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Heiloo</w:t>
            </w:r>
          </w:p>
        </w:tc>
        <w:tc>
          <w:tcPr>
            <w:tcW w:w="1500" w:type="dxa"/>
            <w:tcBorders>
              <w:top w:val="nil"/>
              <w:left w:val="nil"/>
              <w:bottom w:val="nil"/>
              <w:right w:val="single" w:sz="4" w:space="0" w:color="auto"/>
            </w:tcBorders>
            <w:shd w:val="clear" w:color="auto" w:fill="auto"/>
            <w:noWrap/>
            <w:vAlign w:val="bottom"/>
            <w:hideMark/>
          </w:tcPr>
          <w:p w14:paraId="4DB151B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2699F36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18.407 </w:t>
            </w:r>
          </w:p>
        </w:tc>
        <w:tc>
          <w:tcPr>
            <w:tcW w:w="700" w:type="dxa"/>
            <w:tcBorders>
              <w:top w:val="nil"/>
              <w:left w:val="nil"/>
              <w:bottom w:val="nil"/>
              <w:right w:val="nil"/>
            </w:tcBorders>
            <w:shd w:val="clear" w:color="auto" w:fill="auto"/>
            <w:noWrap/>
            <w:vAlign w:val="bottom"/>
            <w:hideMark/>
          </w:tcPr>
          <w:p w14:paraId="7B1BF9FA"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0,5%</w:t>
            </w:r>
          </w:p>
        </w:tc>
        <w:tc>
          <w:tcPr>
            <w:tcW w:w="880" w:type="dxa"/>
            <w:tcBorders>
              <w:top w:val="nil"/>
              <w:left w:val="nil"/>
              <w:bottom w:val="nil"/>
              <w:right w:val="nil"/>
            </w:tcBorders>
            <w:shd w:val="clear" w:color="auto" w:fill="auto"/>
            <w:vAlign w:val="bottom"/>
            <w:hideMark/>
          </w:tcPr>
          <w:p w14:paraId="7B51EF2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254 </w:t>
            </w:r>
          </w:p>
        </w:tc>
        <w:tc>
          <w:tcPr>
            <w:tcW w:w="1000" w:type="dxa"/>
            <w:tcBorders>
              <w:top w:val="nil"/>
              <w:left w:val="nil"/>
              <w:bottom w:val="nil"/>
              <w:right w:val="nil"/>
            </w:tcBorders>
            <w:shd w:val="clear" w:color="auto" w:fill="auto"/>
            <w:vAlign w:val="bottom"/>
            <w:hideMark/>
          </w:tcPr>
          <w:p w14:paraId="11512E7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764 </w:t>
            </w:r>
          </w:p>
        </w:tc>
        <w:tc>
          <w:tcPr>
            <w:tcW w:w="1040" w:type="dxa"/>
            <w:tcBorders>
              <w:top w:val="nil"/>
              <w:left w:val="nil"/>
              <w:bottom w:val="nil"/>
              <w:right w:val="single" w:sz="4" w:space="0" w:color="auto"/>
            </w:tcBorders>
            <w:shd w:val="clear" w:color="auto" w:fill="auto"/>
            <w:vAlign w:val="bottom"/>
            <w:hideMark/>
          </w:tcPr>
          <w:p w14:paraId="72718AE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1.824 </w:t>
            </w:r>
          </w:p>
        </w:tc>
      </w:tr>
      <w:tr w:rsidR="003F1C37" w:rsidRPr="003F1C37" w14:paraId="4FAAFF06"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FE2793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Hilversum</w:t>
            </w:r>
          </w:p>
        </w:tc>
        <w:tc>
          <w:tcPr>
            <w:tcW w:w="1500" w:type="dxa"/>
            <w:tcBorders>
              <w:top w:val="nil"/>
              <w:left w:val="nil"/>
              <w:bottom w:val="nil"/>
              <w:right w:val="single" w:sz="4" w:space="0" w:color="auto"/>
            </w:tcBorders>
            <w:shd w:val="clear" w:color="auto" w:fill="auto"/>
            <w:noWrap/>
            <w:vAlign w:val="bottom"/>
            <w:hideMark/>
          </w:tcPr>
          <w:p w14:paraId="0E50003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2E24959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69.736 </w:t>
            </w:r>
          </w:p>
        </w:tc>
        <w:tc>
          <w:tcPr>
            <w:tcW w:w="700" w:type="dxa"/>
            <w:tcBorders>
              <w:top w:val="nil"/>
              <w:left w:val="nil"/>
              <w:bottom w:val="nil"/>
              <w:right w:val="nil"/>
            </w:tcBorders>
            <w:shd w:val="clear" w:color="auto" w:fill="auto"/>
            <w:noWrap/>
            <w:vAlign w:val="bottom"/>
            <w:hideMark/>
          </w:tcPr>
          <w:p w14:paraId="4C8BC5B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1,9%</w:t>
            </w:r>
          </w:p>
        </w:tc>
        <w:tc>
          <w:tcPr>
            <w:tcW w:w="880" w:type="dxa"/>
            <w:tcBorders>
              <w:top w:val="nil"/>
              <w:left w:val="nil"/>
              <w:bottom w:val="nil"/>
              <w:right w:val="nil"/>
            </w:tcBorders>
            <w:shd w:val="clear" w:color="auto" w:fill="auto"/>
            <w:vAlign w:val="bottom"/>
            <w:hideMark/>
          </w:tcPr>
          <w:p w14:paraId="292D64C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964 </w:t>
            </w:r>
          </w:p>
        </w:tc>
        <w:tc>
          <w:tcPr>
            <w:tcW w:w="1000" w:type="dxa"/>
            <w:tcBorders>
              <w:top w:val="nil"/>
              <w:left w:val="nil"/>
              <w:bottom w:val="nil"/>
              <w:right w:val="nil"/>
            </w:tcBorders>
            <w:shd w:val="clear" w:color="auto" w:fill="auto"/>
            <w:vAlign w:val="bottom"/>
            <w:hideMark/>
          </w:tcPr>
          <w:p w14:paraId="4D80424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2.893 </w:t>
            </w:r>
          </w:p>
        </w:tc>
        <w:tc>
          <w:tcPr>
            <w:tcW w:w="1040" w:type="dxa"/>
            <w:tcBorders>
              <w:top w:val="nil"/>
              <w:left w:val="nil"/>
              <w:bottom w:val="nil"/>
              <w:right w:val="single" w:sz="4" w:space="0" w:color="auto"/>
            </w:tcBorders>
            <w:shd w:val="clear" w:color="auto" w:fill="auto"/>
            <w:vAlign w:val="bottom"/>
            <w:hideMark/>
          </w:tcPr>
          <w:p w14:paraId="4C7C17D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6.910 </w:t>
            </w:r>
          </w:p>
        </w:tc>
      </w:tr>
      <w:tr w:rsidR="003F1C37" w:rsidRPr="003F1C37" w14:paraId="3DA56EC8"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6E066F4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Hollands Kroon</w:t>
            </w:r>
          </w:p>
        </w:tc>
        <w:tc>
          <w:tcPr>
            <w:tcW w:w="1500" w:type="dxa"/>
            <w:tcBorders>
              <w:top w:val="nil"/>
              <w:left w:val="nil"/>
              <w:bottom w:val="nil"/>
              <w:right w:val="single" w:sz="4" w:space="0" w:color="auto"/>
            </w:tcBorders>
            <w:shd w:val="clear" w:color="auto" w:fill="auto"/>
            <w:noWrap/>
            <w:vAlign w:val="bottom"/>
            <w:hideMark/>
          </w:tcPr>
          <w:p w14:paraId="07E8F34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0EC9D30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37.049 </w:t>
            </w:r>
          </w:p>
        </w:tc>
        <w:tc>
          <w:tcPr>
            <w:tcW w:w="700" w:type="dxa"/>
            <w:tcBorders>
              <w:top w:val="nil"/>
              <w:left w:val="nil"/>
              <w:bottom w:val="nil"/>
              <w:right w:val="nil"/>
            </w:tcBorders>
            <w:shd w:val="clear" w:color="auto" w:fill="auto"/>
            <w:noWrap/>
            <w:vAlign w:val="bottom"/>
            <w:hideMark/>
          </w:tcPr>
          <w:p w14:paraId="6FB133B1"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1,0%</w:t>
            </w:r>
          </w:p>
        </w:tc>
        <w:tc>
          <w:tcPr>
            <w:tcW w:w="880" w:type="dxa"/>
            <w:tcBorders>
              <w:top w:val="nil"/>
              <w:left w:val="nil"/>
              <w:bottom w:val="nil"/>
              <w:right w:val="nil"/>
            </w:tcBorders>
            <w:shd w:val="clear" w:color="auto" w:fill="auto"/>
            <w:vAlign w:val="bottom"/>
            <w:hideMark/>
          </w:tcPr>
          <w:p w14:paraId="7C18F51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512 </w:t>
            </w:r>
          </w:p>
        </w:tc>
        <w:tc>
          <w:tcPr>
            <w:tcW w:w="1000" w:type="dxa"/>
            <w:tcBorders>
              <w:top w:val="nil"/>
              <w:left w:val="nil"/>
              <w:bottom w:val="nil"/>
              <w:right w:val="nil"/>
            </w:tcBorders>
            <w:shd w:val="clear" w:color="auto" w:fill="auto"/>
            <w:vAlign w:val="bottom"/>
            <w:hideMark/>
          </w:tcPr>
          <w:p w14:paraId="647EC9C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1.537 </w:t>
            </w:r>
          </w:p>
        </w:tc>
        <w:tc>
          <w:tcPr>
            <w:tcW w:w="1040" w:type="dxa"/>
            <w:tcBorders>
              <w:top w:val="nil"/>
              <w:left w:val="nil"/>
              <w:bottom w:val="nil"/>
              <w:right w:val="single" w:sz="4" w:space="0" w:color="auto"/>
            </w:tcBorders>
            <w:shd w:val="clear" w:color="auto" w:fill="auto"/>
            <w:vAlign w:val="bottom"/>
            <w:hideMark/>
          </w:tcPr>
          <w:p w14:paraId="6F0F6BB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3.671 </w:t>
            </w:r>
          </w:p>
        </w:tc>
      </w:tr>
      <w:tr w:rsidR="003F1C37" w:rsidRPr="003F1C37" w14:paraId="137D396B"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E97B3D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Hoorn</w:t>
            </w:r>
          </w:p>
        </w:tc>
        <w:tc>
          <w:tcPr>
            <w:tcW w:w="1500" w:type="dxa"/>
            <w:tcBorders>
              <w:top w:val="nil"/>
              <w:left w:val="nil"/>
              <w:bottom w:val="nil"/>
              <w:right w:val="single" w:sz="4" w:space="0" w:color="auto"/>
            </w:tcBorders>
            <w:shd w:val="clear" w:color="auto" w:fill="auto"/>
            <w:noWrap/>
            <w:vAlign w:val="bottom"/>
            <w:hideMark/>
          </w:tcPr>
          <w:p w14:paraId="6CDA258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07DD91C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56.298 </w:t>
            </w:r>
          </w:p>
        </w:tc>
        <w:tc>
          <w:tcPr>
            <w:tcW w:w="700" w:type="dxa"/>
            <w:tcBorders>
              <w:top w:val="nil"/>
              <w:left w:val="nil"/>
              <w:bottom w:val="nil"/>
              <w:right w:val="nil"/>
            </w:tcBorders>
            <w:shd w:val="clear" w:color="auto" w:fill="auto"/>
            <w:noWrap/>
            <w:vAlign w:val="bottom"/>
            <w:hideMark/>
          </w:tcPr>
          <w:p w14:paraId="5A2DE631"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1,6%</w:t>
            </w:r>
          </w:p>
        </w:tc>
        <w:tc>
          <w:tcPr>
            <w:tcW w:w="880" w:type="dxa"/>
            <w:tcBorders>
              <w:top w:val="nil"/>
              <w:left w:val="nil"/>
              <w:bottom w:val="nil"/>
              <w:right w:val="nil"/>
            </w:tcBorders>
            <w:shd w:val="clear" w:color="auto" w:fill="auto"/>
            <w:vAlign w:val="bottom"/>
            <w:hideMark/>
          </w:tcPr>
          <w:p w14:paraId="2DE4C56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778 </w:t>
            </w:r>
          </w:p>
        </w:tc>
        <w:tc>
          <w:tcPr>
            <w:tcW w:w="1000" w:type="dxa"/>
            <w:tcBorders>
              <w:top w:val="nil"/>
              <w:left w:val="nil"/>
              <w:bottom w:val="nil"/>
              <w:right w:val="nil"/>
            </w:tcBorders>
            <w:shd w:val="clear" w:color="auto" w:fill="auto"/>
            <w:vAlign w:val="bottom"/>
            <w:hideMark/>
          </w:tcPr>
          <w:p w14:paraId="3C761E4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2.335 </w:t>
            </w:r>
          </w:p>
        </w:tc>
        <w:tc>
          <w:tcPr>
            <w:tcW w:w="1040" w:type="dxa"/>
            <w:tcBorders>
              <w:top w:val="nil"/>
              <w:left w:val="nil"/>
              <w:bottom w:val="nil"/>
              <w:right w:val="single" w:sz="4" w:space="0" w:color="auto"/>
            </w:tcBorders>
            <w:shd w:val="clear" w:color="auto" w:fill="auto"/>
            <w:vAlign w:val="bottom"/>
            <w:hideMark/>
          </w:tcPr>
          <w:p w14:paraId="1A74F23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5.578 </w:t>
            </w:r>
          </w:p>
        </w:tc>
      </w:tr>
      <w:tr w:rsidR="003F1C37" w:rsidRPr="003F1C37" w14:paraId="4AFA55BC"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610870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Houten</w:t>
            </w:r>
          </w:p>
        </w:tc>
        <w:tc>
          <w:tcPr>
            <w:tcW w:w="1500" w:type="dxa"/>
            <w:tcBorders>
              <w:top w:val="nil"/>
              <w:left w:val="nil"/>
              <w:bottom w:val="nil"/>
              <w:right w:val="single" w:sz="4" w:space="0" w:color="auto"/>
            </w:tcBorders>
            <w:shd w:val="clear" w:color="auto" w:fill="auto"/>
            <w:noWrap/>
            <w:vAlign w:val="bottom"/>
            <w:hideMark/>
          </w:tcPr>
          <w:p w14:paraId="0317EFA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4850CB2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36.651 </w:t>
            </w:r>
          </w:p>
        </w:tc>
        <w:tc>
          <w:tcPr>
            <w:tcW w:w="700" w:type="dxa"/>
            <w:tcBorders>
              <w:top w:val="nil"/>
              <w:left w:val="nil"/>
              <w:bottom w:val="nil"/>
              <w:right w:val="nil"/>
            </w:tcBorders>
            <w:shd w:val="clear" w:color="auto" w:fill="auto"/>
            <w:noWrap/>
            <w:vAlign w:val="bottom"/>
            <w:hideMark/>
          </w:tcPr>
          <w:p w14:paraId="5E8E84F0"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1,0%</w:t>
            </w:r>
          </w:p>
        </w:tc>
        <w:tc>
          <w:tcPr>
            <w:tcW w:w="880" w:type="dxa"/>
            <w:tcBorders>
              <w:top w:val="nil"/>
              <w:left w:val="nil"/>
              <w:bottom w:val="nil"/>
              <w:right w:val="nil"/>
            </w:tcBorders>
            <w:shd w:val="clear" w:color="auto" w:fill="auto"/>
            <w:vAlign w:val="bottom"/>
            <w:hideMark/>
          </w:tcPr>
          <w:p w14:paraId="1C8EE00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506 </w:t>
            </w:r>
          </w:p>
        </w:tc>
        <w:tc>
          <w:tcPr>
            <w:tcW w:w="1000" w:type="dxa"/>
            <w:tcBorders>
              <w:top w:val="nil"/>
              <w:left w:val="nil"/>
              <w:bottom w:val="nil"/>
              <w:right w:val="nil"/>
            </w:tcBorders>
            <w:shd w:val="clear" w:color="auto" w:fill="auto"/>
            <w:vAlign w:val="bottom"/>
            <w:hideMark/>
          </w:tcPr>
          <w:p w14:paraId="303440A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1.520 </w:t>
            </w:r>
          </w:p>
        </w:tc>
        <w:tc>
          <w:tcPr>
            <w:tcW w:w="1040" w:type="dxa"/>
            <w:tcBorders>
              <w:top w:val="nil"/>
              <w:left w:val="nil"/>
              <w:bottom w:val="nil"/>
              <w:right w:val="single" w:sz="4" w:space="0" w:color="auto"/>
            </w:tcBorders>
            <w:shd w:val="clear" w:color="auto" w:fill="auto"/>
            <w:vAlign w:val="bottom"/>
            <w:hideMark/>
          </w:tcPr>
          <w:p w14:paraId="5FA1530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3.632 </w:t>
            </w:r>
          </w:p>
        </w:tc>
      </w:tr>
      <w:tr w:rsidR="003F1C37" w:rsidRPr="003F1C37" w14:paraId="563F5195"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0B7D74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Huizen</w:t>
            </w:r>
          </w:p>
        </w:tc>
        <w:tc>
          <w:tcPr>
            <w:tcW w:w="1500" w:type="dxa"/>
            <w:tcBorders>
              <w:top w:val="nil"/>
              <w:left w:val="nil"/>
              <w:bottom w:val="nil"/>
              <w:right w:val="single" w:sz="4" w:space="0" w:color="auto"/>
            </w:tcBorders>
            <w:shd w:val="clear" w:color="auto" w:fill="auto"/>
            <w:noWrap/>
            <w:vAlign w:val="bottom"/>
            <w:hideMark/>
          </w:tcPr>
          <w:p w14:paraId="27C996C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7BAB2D8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32.253 </w:t>
            </w:r>
          </w:p>
        </w:tc>
        <w:tc>
          <w:tcPr>
            <w:tcW w:w="700" w:type="dxa"/>
            <w:tcBorders>
              <w:top w:val="nil"/>
              <w:left w:val="nil"/>
              <w:bottom w:val="nil"/>
              <w:right w:val="nil"/>
            </w:tcBorders>
            <w:shd w:val="clear" w:color="auto" w:fill="auto"/>
            <w:noWrap/>
            <w:vAlign w:val="bottom"/>
            <w:hideMark/>
          </w:tcPr>
          <w:p w14:paraId="70FEB7CC"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0,9%</w:t>
            </w:r>
          </w:p>
        </w:tc>
        <w:tc>
          <w:tcPr>
            <w:tcW w:w="880" w:type="dxa"/>
            <w:tcBorders>
              <w:top w:val="nil"/>
              <w:left w:val="nil"/>
              <w:bottom w:val="nil"/>
              <w:right w:val="nil"/>
            </w:tcBorders>
            <w:shd w:val="clear" w:color="auto" w:fill="auto"/>
            <w:vAlign w:val="bottom"/>
            <w:hideMark/>
          </w:tcPr>
          <w:p w14:paraId="76DDF93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446 </w:t>
            </w:r>
          </w:p>
        </w:tc>
        <w:tc>
          <w:tcPr>
            <w:tcW w:w="1000" w:type="dxa"/>
            <w:tcBorders>
              <w:top w:val="nil"/>
              <w:left w:val="nil"/>
              <w:bottom w:val="nil"/>
              <w:right w:val="nil"/>
            </w:tcBorders>
            <w:shd w:val="clear" w:color="auto" w:fill="auto"/>
            <w:vAlign w:val="bottom"/>
            <w:hideMark/>
          </w:tcPr>
          <w:p w14:paraId="3CAF2A7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1.338 </w:t>
            </w:r>
          </w:p>
        </w:tc>
        <w:tc>
          <w:tcPr>
            <w:tcW w:w="1040" w:type="dxa"/>
            <w:tcBorders>
              <w:top w:val="nil"/>
              <w:left w:val="nil"/>
              <w:bottom w:val="nil"/>
              <w:right w:val="single" w:sz="4" w:space="0" w:color="auto"/>
            </w:tcBorders>
            <w:shd w:val="clear" w:color="auto" w:fill="auto"/>
            <w:vAlign w:val="bottom"/>
            <w:hideMark/>
          </w:tcPr>
          <w:p w14:paraId="26FD15F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3.196 </w:t>
            </w:r>
          </w:p>
        </w:tc>
      </w:tr>
      <w:tr w:rsidR="003F1C37" w:rsidRPr="003F1C37" w14:paraId="7C75B45D"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629A03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IJsselstein</w:t>
            </w:r>
          </w:p>
        </w:tc>
        <w:tc>
          <w:tcPr>
            <w:tcW w:w="1500" w:type="dxa"/>
            <w:tcBorders>
              <w:top w:val="nil"/>
              <w:left w:val="nil"/>
              <w:bottom w:val="nil"/>
              <w:right w:val="single" w:sz="4" w:space="0" w:color="auto"/>
            </w:tcBorders>
            <w:shd w:val="clear" w:color="auto" w:fill="auto"/>
            <w:noWrap/>
            <w:vAlign w:val="bottom"/>
            <w:hideMark/>
          </w:tcPr>
          <w:p w14:paraId="15F424B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523145F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25.718 </w:t>
            </w:r>
          </w:p>
        </w:tc>
        <w:tc>
          <w:tcPr>
            <w:tcW w:w="700" w:type="dxa"/>
            <w:tcBorders>
              <w:top w:val="nil"/>
              <w:left w:val="nil"/>
              <w:bottom w:val="nil"/>
              <w:right w:val="nil"/>
            </w:tcBorders>
            <w:shd w:val="clear" w:color="auto" w:fill="auto"/>
            <w:noWrap/>
            <w:vAlign w:val="bottom"/>
            <w:hideMark/>
          </w:tcPr>
          <w:p w14:paraId="4754F0A3"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0,7%</w:t>
            </w:r>
          </w:p>
        </w:tc>
        <w:tc>
          <w:tcPr>
            <w:tcW w:w="880" w:type="dxa"/>
            <w:tcBorders>
              <w:top w:val="nil"/>
              <w:left w:val="nil"/>
              <w:bottom w:val="nil"/>
              <w:right w:val="nil"/>
            </w:tcBorders>
            <w:shd w:val="clear" w:color="auto" w:fill="auto"/>
            <w:vAlign w:val="bottom"/>
            <w:hideMark/>
          </w:tcPr>
          <w:p w14:paraId="20A07F0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355 </w:t>
            </w:r>
          </w:p>
        </w:tc>
        <w:tc>
          <w:tcPr>
            <w:tcW w:w="1000" w:type="dxa"/>
            <w:tcBorders>
              <w:top w:val="nil"/>
              <w:left w:val="nil"/>
              <w:bottom w:val="nil"/>
              <w:right w:val="nil"/>
            </w:tcBorders>
            <w:shd w:val="clear" w:color="auto" w:fill="auto"/>
            <w:vAlign w:val="bottom"/>
            <w:hideMark/>
          </w:tcPr>
          <w:p w14:paraId="4834D80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1.067 </w:t>
            </w:r>
          </w:p>
        </w:tc>
        <w:tc>
          <w:tcPr>
            <w:tcW w:w="1040" w:type="dxa"/>
            <w:tcBorders>
              <w:top w:val="nil"/>
              <w:left w:val="nil"/>
              <w:bottom w:val="nil"/>
              <w:right w:val="single" w:sz="4" w:space="0" w:color="auto"/>
            </w:tcBorders>
            <w:shd w:val="clear" w:color="auto" w:fill="auto"/>
            <w:vAlign w:val="bottom"/>
            <w:hideMark/>
          </w:tcPr>
          <w:p w14:paraId="2E51354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2.548 </w:t>
            </w:r>
          </w:p>
        </w:tc>
      </w:tr>
      <w:tr w:rsidR="003F1C37" w:rsidRPr="003F1C37" w14:paraId="62A01E28"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A95503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Koggenland</w:t>
            </w:r>
          </w:p>
        </w:tc>
        <w:tc>
          <w:tcPr>
            <w:tcW w:w="1500" w:type="dxa"/>
            <w:tcBorders>
              <w:top w:val="nil"/>
              <w:left w:val="nil"/>
              <w:bottom w:val="nil"/>
              <w:right w:val="single" w:sz="4" w:space="0" w:color="auto"/>
            </w:tcBorders>
            <w:shd w:val="clear" w:color="auto" w:fill="auto"/>
            <w:noWrap/>
            <w:vAlign w:val="bottom"/>
            <w:hideMark/>
          </w:tcPr>
          <w:p w14:paraId="5D34291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351A78D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17.351 </w:t>
            </w:r>
          </w:p>
        </w:tc>
        <w:tc>
          <w:tcPr>
            <w:tcW w:w="700" w:type="dxa"/>
            <w:tcBorders>
              <w:top w:val="nil"/>
              <w:left w:val="nil"/>
              <w:bottom w:val="nil"/>
              <w:right w:val="nil"/>
            </w:tcBorders>
            <w:shd w:val="clear" w:color="auto" w:fill="auto"/>
            <w:noWrap/>
            <w:vAlign w:val="bottom"/>
            <w:hideMark/>
          </w:tcPr>
          <w:p w14:paraId="539B474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0,5%</w:t>
            </w:r>
          </w:p>
        </w:tc>
        <w:tc>
          <w:tcPr>
            <w:tcW w:w="880" w:type="dxa"/>
            <w:tcBorders>
              <w:top w:val="nil"/>
              <w:left w:val="nil"/>
              <w:bottom w:val="nil"/>
              <w:right w:val="nil"/>
            </w:tcBorders>
            <w:shd w:val="clear" w:color="auto" w:fill="auto"/>
            <w:vAlign w:val="bottom"/>
            <w:hideMark/>
          </w:tcPr>
          <w:p w14:paraId="070AEB0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240 </w:t>
            </w:r>
          </w:p>
        </w:tc>
        <w:tc>
          <w:tcPr>
            <w:tcW w:w="1000" w:type="dxa"/>
            <w:tcBorders>
              <w:top w:val="nil"/>
              <w:left w:val="nil"/>
              <w:bottom w:val="nil"/>
              <w:right w:val="nil"/>
            </w:tcBorders>
            <w:shd w:val="clear" w:color="auto" w:fill="auto"/>
            <w:vAlign w:val="bottom"/>
            <w:hideMark/>
          </w:tcPr>
          <w:p w14:paraId="48E6484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720 </w:t>
            </w:r>
          </w:p>
        </w:tc>
        <w:tc>
          <w:tcPr>
            <w:tcW w:w="1040" w:type="dxa"/>
            <w:tcBorders>
              <w:top w:val="nil"/>
              <w:left w:val="nil"/>
              <w:bottom w:val="nil"/>
              <w:right w:val="single" w:sz="4" w:space="0" w:color="auto"/>
            </w:tcBorders>
            <w:shd w:val="clear" w:color="auto" w:fill="auto"/>
            <w:vAlign w:val="bottom"/>
            <w:hideMark/>
          </w:tcPr>
          <w:p w14:paraId="456F872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1.719 </w:t>
            </w:r>
          </w:p>
        </w:tc>
      </w:tr>
      <w:tr w:rsidR="003F1C37" w:rsidRPr="003F1C37" w14:paraId="46FE4F49"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3B1D99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Landsmeer</w:t>
            </w:r>
          </w:p>
        </w:tc>
        <w:tc>
          <w:tcPr>
            <w:tcW w:w="1500" w:type="dxa"/>
            <w:tcBorders>
              <w:top w:val="nil"/>
              <w:left w:val="nil"/>
              <w:bottom w:val="nil"/>
              <w:right w:val="single" w:sz="4" w:space="0" w:color="auto"/>
            </w:tcBorders>
            <w:shd w:val="clear" w:color="auto" w:fill="auto"/>
            <w:noWrap/>
            <w:vAlign w:val="bottom"/>
            <w:hideMark/>
          </w:tcPr>
          <w:p w14:paraId="48F4853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67A84EC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8.841 </w:t>
            </w:r>
          </w:p>
        </w:tc>
        <w:tc>
          <w:tcPr>
            <w:tcW w:w="700" w:type="dxa"/>
            <w:tcBorders>
              <w:top w:val="nil"/>
              <w:left w:val="nil"/>
              <w:bottom w:val="nil"/>
              <w:right w:val="nil"/>
            </w:tcBorders>
            <w:shd w:val="clear" w:color="auto" w:fill="auto"/>
            <w:noWrap/>
            <w:vAlign w:val="bottom"/>
            <w:hideMark/>
          </w:tcPr>
          <w:p w14:paraId="3EE2E50F"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0,2%</w:t>
            </w:r>
          </w:p>
        </w:tc>
        <w:tc>
          <w:tcPr>
            <w:tcW w:w="880" w:type="dxa"/>
            <w:tcBorders>
              <w:top w:val="nil"/>
              <w:left w:val="nil"/>
              <w:bottom w:val="nil"/>
              <w:right w:val="nil"/>
            </w:tcBorders>
            <w:shd w:val="clear" w:color="auto" w:fill="auto"/>
            <w:vAlign w:val="bottom"/>
            <w:hideMark/>
          </w:tcPr>
          <w:p w14:paraId="217A563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122 </w:t>
            </w:r>
          </w:p>
        </w:tc>
        <w:tc>
          <w:tcPr>
            <w:tcW w:w="1000" w:type="dxa"/>
            <w:tcBorders>
              <w:top w:val="nil"/>
              <w:left w:val="nil"/>
              <w:bottom w:val="nil"/>
              <w:right w:val="nil"/>
            </w:tcBorders>
            <w:shd w:val="clear" w:color="auto" w:fill="auto"/>
            <w:vAlign w:val="bottom"/>
            <w:hideMark/>
          </w:tcPr>
          <w:p w14:paraId="6D49D5F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367 </w:t>
            </w:r>
          </w:p>
        </w:tc>
        <w:tc>
          <w:tcPr>
            <w:tcW w:w="1040" w:type="dxa"/>
            <w:tcBorders>
              <w:top w:val="nil"/>
              <w:left w:val="nil"/>
              <w:bottom w:val="nil"/>
              <w:right w:val="single" w:sz="4" w:space="0" w:color="auto"/>
            </w:tcBorders>
            <w:shd w:val="clear" w:color="auto" w:fill="auto"/>
            <w:vAlign w:val="bottom"/>
            <w:hideMark/>
          </w:tcPr>
          <w:p w14:paraId="44A3479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876 </w:t>
            </w:r>
          </w:p>
        </w:tc>
      </w:tr>
      <w:tr w:rsidR="003F1C37" w:rsidRPr="003F1C37" w14:paraId="72A48345"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25347EC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Langedijk</w:t>
            </w:r>
          </w:p>
        </w:tc>
        <w:tc>
          <w:tcPr>
            <w:tcW w:w="1500" w:type="dxa"/>
            <w:tcBorders>
              <w:top w:val="nil"/>
              <w:left w:val="nil"/>
              <w:bottom w:val="nil"/>
              <w:right w:val="single" w:sz="4" w:space="0" w:color="auto"/>
            </w:tcBorders>
            <w:shd w:val="clear" w:color="auto" w:fill="auto"/>
            <w:noWrap/>
            <w:vAlign w:val="bottom"/>
            <w:hideMark/>
          </w:tcPr>
          <w:p w14:paraId="69F0A1A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4F75C20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21.416 </w:t>
            </w:r>
          </w:p>
        </w:tc>
        <w:tc>
          <w:tcPr>
            <w:tcW w:w="700" w:type="dxa"/>
            <w:tcBorders>
              <w:top w:val="nil"/>
              <w:left w:val="nil"/>
              <w:bottom w:val="nil"/>
              <w:right w:val="nil"/>
            </w:tcBorders>
            <w:shd w:val="clear" w:color="auto" w:fill="auto"/>
            <w:noWrap/>
            <w:vAlign w:val="bottom"/>
            <w:hideMark/>
          </w:tcPr>
          <w:p w14:paraId="73A1823F"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0,6%</w:t>
            </w:r>
          </w:p>
        </w:tc>
        <w:tc>
          <w:tcPr>
            <w:tcW w:w="880" w:type="dxa"/>
            <w:tcBorders>
              <w:top w:val="nil"/>
              <w:left w:val="nil"/>
              <w:bottom w:val="nil"/>
              <w:right w:val="nil"/>
            </w:tcBorders>
            <w:shd w:val="clear" w:color="auto" w:fill="auto"/>
            <w:vAlign w:val="bottom"/>
            <w:hideMark/>
          </w:tcPr>
          <w:p w14:paraId="160EA6D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296 </w:t>
            </w:r>
          </w:p>
        </w:tc>
        <w:tc>
          <w:tcPr>
            <w:tcW w:w="1000" w:type="dxa"/>
            <w:tcBorders>
              <w:top w:val="nil"/>
              <w:left w:val="nil"/>
              <w:bottom w:val="nil"/>
              <w:right w:val="nil"/>
            </w:tcBorders>
            <w:shd w:val="clear" w:color="auto" w:fill="auto"/>
            <w:vAlign w:val="bottom"/>
            <w:hideMark/>
          </w:tcPr>
          <w:p w14:paraId="4B228A8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888 </w:t>
            </w:r>
          </w:p>
        </w:tc>
        <w:tc>
          <w:tcPr>
            <w:tcW w:w="1040" w:type="dxa"/>
            <w:tcBorders>
              <w:top w:val="nil"/>
              <w:left w:val="nil"/>
              <w:bottom w:val="nil"/>
              <w:right w:val="single" w:sz="4" w:space="0" w:color="auto"/>
            </w:tcBorders>
            <w:shd w:val="clear" w:color="auto" w:fill="auto"/>
            <w:vAlign w:val="bottom"/>
            <w:hideMark/>
          </w:tcPr>
          <w:p w14:paraId="072A08E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2.122 </w:t>
            </w:r>
          </w:p>
        </w:tc>
      </w:tr>
      <w:tr w:rsidR="003F1C37" w:rsidRPr="003F1C37" w14:paraId="1CAA299B"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2C4CE9D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lastRenderedPageBreak/>
              <w:t>Laren</w:t>
            </w:r>
          </w:p>
        </w:tc>
        <w:tc>
          <w:tcPr>
            <w:tcW w:w="1500" w:type="dxa"/>
            <w:tcBorders>
              <w:top w:val="nil"/>
              <w:left w:val="nil"/>
              <w:bottom w:val="nil"/>
              <w:right w:val="single" w:sz="4" w:space="0" w:color="auto"/>
            </w:tcBorders>
            <w:shd w:val="clear" w:color="auto" w:fill="auto"/>
            <w:noWrap/>
            <w:vAlign w:val="bottom"/>
            <w:hideMark/>
          </w:tcPr>
          <w:p w14:paraId="1DB4065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1E652A8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8.760 </w:t>
            </w:r>
          </w:p>
        </w:tc>
        <w:tc>
          <w:tcPr>
            <w:tcW w:w="700" w:type="dxa"/>
            <w:tcBorders>
              <w:top w:val="nil"/>
              <w:left w:val="nil"/>
              <w:bottom w:val="nil"/>
              <w:right w:val="nil"/>
            </w:tcBorders>
            <w:shd w:val="clear" w:color="auto" w:fill="auto"/>
            <w:noWrap/>
            <w:vAlign w:val="bottom"/>
            <w:hideMark/>
          </w:tcPr>
          <w:p w14:paraId="2A1C4EFC"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0,2%</w:t>
            </w:r>
          </w:p>
        </w:tc>
        <w:tc>
          <w:tcPr>
            <w:tcW w:w="880" w:type="dxa"/>
            <w:tcBorders>
              <w:top w:val="nil"/>
              <w:left w:val="nil"/>
              <w:bottom w:val="nil"/>
              <w:right w:val="nil"/>
            </w:tcBorders>
            <w:shd w:val="clear" w:color="auto" w:fill="auto"/>
            <w:vAlign w:val="bottom"/>
            <w:hideMark/>
          </w:tcPr>
          <w:p w14:paraId="1B0EF54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121 </w:t>
            </w:r>
          </w:p>
        </w:tc>
        <w:tc>
          <w:tcPr>
            <w:tcW w:w="1000" w:type="dxa"/>
            <w:tcBorders>
              <w:top w:val="nil"/>
              <w:left w:val="nil"/>
              <w:bottom w:val="nil"/>
              <w:right w:val="nil"/>
            </w:tcBorders>
            <w:shd w:val="clear" w:color="auto" w:fill="auto"/>
            <w:vAlign w:val="bottom"/>
            <w:hideMark/>
          </w:tcPr>
          <w:p w14:paraId="27E3CB6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363 </w:t>
            </w:r>
          </w:p>
        </w:tc>
        <w:tc>
          <w:tcPr>
            <w:tcW w:w="1040" w:type="dxa"/>
            <w:tcBorders>
              <w:top w:val="nil"/>
              <w:left w:val="nil"/>
              <w:bottom w:val="nil"/>
              <w:right w:val="single" w:sz="4" w:space="0" w:color="auto"/>
            </w:tcBorders>
            <w:shd w:val="clear" w:color="auto" w:fill="auto"/>
            <w:vAlign w:val="bottom"/>
            <w:hideMark/>
          </w:tcPr>
          <w:p w14:paraId="68FF13D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868 </w:t>
            </w:r>
          </w:p>
        </w:tc>
      </w:tr>
      <w:tr w:rsidR="003F1C37" w:rsidRPr="003F1C37" w14:paraId="53F75A97"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70ADFB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Lelystad</w:t>
            </w:r>
          </w:p>
        </w:tc>
        <w:tc>
          <w:tcPr>
            <w:tcW w:w="1500" w:type="dxa"/>
            <w:tcBorders>
              <w:top w:val="nil"/>
              <w:left w:val="nil"/>
              <w:bottom w:val="nil"/>
              <w:right w:val="single" w:sz="4" w:space="0" w:color="auto"/>
            </w:tcBorders>
            <w:shd w:val="clear" w:color="auto" w:fill="auto"/>
            <w:noWrap/>
            <w:vAlign w:val="bottom"/>
            <w:hideMark/>
          </w:tcPr>
          <w:p w14:paraId="0736845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Flevoland</w:t>
            </w:r>
          </w:p>
        </w:tc>
        <w:tc>
          <w:tcPr>
            <w:tcW w:w="1180" w:type="dxa"/>
            <w:tcBorders>
              <w:top w:val="nil"/>
              <w:left w:val="nil"/>
              <w:bottom w:val="nil"/>
              <w:right w:val="single" w:sz="4" w:space="0" w:color="auto"/>
            </w:tcBorders>
            <w:shd w:val="clear" w:color="auto" w:fill="auto"/>
            <w:noWrap/>
            <w:vAlign w:val="bottom"/>
            <w:hideMark/>
          </w:tcPr>
          <w:p w14:paraId="517F00C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58.795 </w:t>
            </w:r>
          </w:p>
        </w:tc>
        <w:tc>
          <w:tcPr>
            <w:tcW w:w="700" w:type="dxa"/>
            <w:tcBorders>
              <w:top w:val="nil"/>
              <w:left w:val="nil"/>
              <w:bottom w:val="nil"/>
              <w:right w:val="nil"/>
            </w:tcBorders>
            <w:shd w:val="clear" w:color="auto" w:fill="auto"/>
            <w:noWrap/>
            <w:vAlign w:val="bottom"/>
            <w:hideMark/>
          </w:tcPr>
          <w:p w14:paraId="104D949C"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1,6%</w:t>
            </w:r>
          </w:p>
        </w:tc>
        <w:tc>
          <w:tcPr>
            <w:tcW w:w="880" w:type="dxa"/>
            <w:tcBorders>
              <w:top w:val="nil"/>
              <w:left w:val="nil"/>
              <w:bottom w:val="nil"/>
              <w:right w:val="nil"/>
            </w:tcBorders>
            <w:shd w:val="clear" w:color="auto" w:fill="auto"/>
            <w:vAlign w:val="bottom"/>
            <w:hideMark/>
          </w:tcPr>
          <w:p w14:paraId="0B4ACEA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813 </w:t>
            </w:r>
          </w:p>
        </w:tc>
        <w:tc>
          <w:tcPr>
            <w:tcW w:w="1000" w:type="dxa"/>
            <w:tcBorders>
              <w:top w:val="nil"/>
              <w:left w:val="nil"/>
              <w:bottom w:val="nil"/>
              <w:right w:val="nil"/>
            </w:tcBorders>
            <w:shd w:val="clear" w:color="auto" w:fill="auto"/>
            <w:vAlign w:val="bottom"/>
            <w:hideMark/>
          </w:tcPr>
          <w:p w14:paraId="4FE5EBE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2.439 </w:t>
            </w:r>
          </w:p>
        </w:tc>
        <w:tc>
          <w:tcPr>
            <w:tcW w:w="1040" w:type="dxa"/>
            <w:tcBorders>
              <w:top w:val="nil"/>
              <w:left w:val="nil"/>
              <w:bottom w:val="nil"/>
              <w:right w:val="single" w:sz="4" w:space="0" w:color="auto"/>
            </w:tcBorders>
            <w:shd w:val="clear" w:color="auto" w:fill="auto"/>
            <w:vAlign w:val="bottom"/>
            <w:hideMark/>
          </w:tcPr>
          <w:p w14:paraId="4297C89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5.826 </w:t>
            </w:r>
          </w:p>
        </w:tc>
      </w:tr>
      <w:tr w:rsidR="003F1C37" w:rsidRPr="003F1C37" w14:paraId="6B971A49"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35B37D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Leusden</w:t>
            </w:r>
          </w:p>
        </w:tc>
        <w:tc>
          <w:tcPr>
            <w:tcW w:w="1500" w:type="dxa"/>
            <w:tcBorders>
              <w:top w:val="nil"/>
              <w:left w:val="nil"/>
              <w:bottom w:val="nil"/>
              <w:right w:val="single" w:sz="4" w:space="0" w:color="auto"/>
            </w:tcBorders>
            <w:shd w:val="clear" w:color="auto" w:fill="auto"/>
            <w:noWrap/>
            <w:vAlign w:val="bottom"/>
            <w:hideMark/>
          </w:tcPr>
          <w:p w14:paraId="6D7AC71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1A33B05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23.066 </w:t>
            </w:r>
          </w:p>
        </w:tc>
        <w:tc>
          <w:tcPr>
            <w:tcW w:w="700" w:type="dxa"/>
            <w:tcBorders>
              <w:top w:val="nil"/>
              <w:left w:val="nil"/>
              <w:bottom w:val="nil"/>
              <w:right w:val="nil"/>
            </w:tcBorders>
            <w:shd w:val="clear" w:color="auto" w:fill="auto"/>
            <w:noWrap/>
            <w:vAlign w:val="bottom"/>
            <w:hideMark/>
          </w:tcPr>
          <w:p w14:paraId="4C00D970"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0,6%</w:t>
            </w:r>
          </w:p>
        </w:tc>
        <w:tc>
          <w:tcPr>
            <w:tcW w:w="880" w:type="dxa"/>
            <w:tcBorders>
              <w:top w:val="nil"/>
              <w:left w:val="nil"/>
              <w:bottom w:val="nil"/>
              <w:right w:val="nil"/>
            </w:tcBorders>
            <w:shd w:val="clear" w:color="auto" w:fill="auto"/>
            <w:vAlign w:val="bottom"/>
            <w:hideMark/>
          </w:tcPr>
          <w:p w14:paraId="57A283B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319 </w:t>
            </w:r>
          </w:p>
        </w:tc>
        <w:tc>
          <w:tcPr>
            <w:tcW w:w="1000" w:type="dxa"/>
            <w:tcBorders>
              <w:top w:val="nil"/>
              <w:left w:val="nil"/>
              <w:bottom w:val="nil"/>
              <w:right w:val="nil"/>
            </w:tcBorders>
            <w:shd w:val="clear" w:color="auto" w:fill="auto"/>
            <w:vAlign w:val="bottom"/>
            <w:hideMark/>
          </w:tcPr>
          <w:p w14:paraId="10A4D2A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957 </w:t>
            </w:r>
          </w:p>
        </w:tc>
        <w:tc>
          <w:tcPr>
            <w:tcW w:w="1040" w:type="dxa"/>
            <w:tcBorders>
              <w:top w:val="nil"/>
              <w:left w:val="nil"/>
              <w:bottom w:val="nil"/>
              <w:right w:val="single" w:sz="4" w:space="0" w:color="auto"/>
            </w:tcBorders>
            <w:shd w:val="clear" w:color="auto" w:fill="auto"/>
            <w:vAlign w:val="bottom"/>
            <w:hideMark/>
          </w:tcPr>
          <w:p w14:paraId="1E317D0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2.286 </w:t>
            </w:r>
          </w:p>
        </w:tc>
      </w:tr>
      <w:tr w:rsidR="003F1C37" w:rsidRPr="003F1C37" w14:paraId="1BB964A0"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1ED8561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Lopik</w:t>
            </w:r>
          </w:p>
        </w:tc>
        <w:tc>
          <w:tcPr>
            <w:tcW w:w="1500" w:type="dxa"/>
            <w:tcBorders>
              <w:top w:val="nil"/>
              <w:left w:val="nil"/>
              <w:bottom w:val="nil"/>
              <w:right w:val="single" w:sz="4" w:space="0" w:color="auto"/>
            </w:tcBorders>
            <w:shd w:val="clear" w:color="auto" w:fill="auto"/>
            <w:noWrap/>
            <w:vAlign w:val="bottom"/>
            <w:hideMark/>
          </w:tcPr>
          <w:p w14:paraId="6C6A5AE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472D7D5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10.884 </w:t>
            </w:r>
          </w:p>
        </w:tc>
        <w:tc>
          <w:tcPr>
            <w:tcW w:w="700" w:type="dxa"/>
            <w:tcBorders>
              <w:top w:val="nil"/>
              <w:left w:val="nil"/>
              <w:bottom w:val="nil"/>
              <w:right w:val="nil"/>
            </w:tcBorders>
            <w:shd w:val="clear" w:color="auto" w:fill="auto"/>
            <w:noWrap/>
            <w:vAlign w:val="bottom"/>
            <w:hideMark/>
          </w:tcPr>
          <w:p w14:paraId="372E92E1"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0,3%</w:t>
            </w:r>
          </w:p>
        </w:tc>
        <w:tc>
          <w:tcPr>
            <w:tcW w:w="880" w:type="dxa"/>
            <w:tcBorders>
              <w:top w:val="nil"/>
              <w:left w:val="nil"/>
              <w:bottom w:val="nil"/>
              <w:right w:val="nil"/>
            </w:tcBorders>
            <w:shd w:val="clear" w:color="auto" w:fill="auto"/>
            <w:vAlign w:val="bottom"/>
            <w:hideMark/>
          </w:tcPr>
          <w:p w14:paraId="10C5898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150 </w:t>
            </w:r>
          </w:p>
        </w:tc>
        <w:tc>
          <w:tcPr>
            <w:tcW w:w="1000" w:type="dxa"/>
            <w:tcBorders>
              <w:top w:val="nil"/>
              <w:left w:val="nil"/>
              <w:bottom w:val="nil"/>
              <w:right w:val="nil"/>
            </w:tcBorders>
            <w:shd w:val="clear" w:color="auto" w:fill="auto"/>
            <w:vAlign w:val="bottom"/>
            <w:hideMark/>
          </w:tcPr>
          <w:p w14:paraId="05398D9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451 </w:t>
            </w:r>
          </w:p>
        </w:tc>
        <w:tc>
          <w:tcPr>
            <w:tcW w:w="1040" w:type="dxa"/>
            <w:tcBorders>
              <w:top w:val="nil"/>
              <w:left w:val="nil"/>
              <w:bottom w:val="nil"/>
              <w:right w:val="single" w:sz="4" w:space="0" w:color="auto"/>
            </w:tcBorders>
            <w:shd w:val="clear" w:color="auto" w:fill="auto"/>
            <w:vAlign w:val="bottom"/>
            <w:hideMark/>
          </w:tcPr>
          <w:p w14:paraId="0BFA486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1.078 </w:t>
            </w:r>
          </w:p>
        </w:tc>
      </w:tr>
      <w:tr w:rsidR="003F1C37" w:rsidRPr="003F1C37" w14:paraId="752F3E47"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2561E9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Medemblik</w:t>
            </w:r>
          </w:p>
        </w:tc>
        <w:tc>
          <w:tcPr>
            <w:tcW w:w="1500" w:type="dxa"/>
            <w:tcBorders>
              <w:top w:val="nil"/>
              <w:left w:val="nil"/>
              <w:bottom w:val="nil"/>
              <w:right w:val="single" w:sz="4" w:space="0" w:color="auto"/>
            </w:tcBorders>
            <w:shd w:val="clear" w:color="auto" w:fill="auto"/>
            <w:noWrap/>
            <w:vAlign w:val="bottom"/>
            <w:hideMark/>
          </w:tcPr>
          <w:p w14:paraId="2CE0B09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42E2947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34.517 </w:t>
            </w:r>
          </w:p>
        </w:tc>
        <w:tc>
          <w:tcPr>
            <w:tcW w:w="700" w:type="dxa"/>
            <w:tcBorders>
              <w:top w:val="nil"/>
              <w:left w:val="nil"/>
              <w:bottom w:val="nil"/>
              <w:right w:val="nil"/>
            </w:tcBorders>
            <w:shd w:val="clear" w:color="auto" w:fill="auto"/>
            <w:noWrap/>
            <w:vAlign w:val="bottom"/>
            <w:hideMark/>
          </w:tcPr>
          <w:p w14:paraId="0966D215"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1,0%</w:t>
            </w:r>
          </w:p>
        </w:tc>
        <w:tc>
          <w:tcPr>
            <w:tcW w:w="880" w:type="dxa"/>
            <w:tcBorders>
              <w:top w:val="nil"/>
              <w:left w:val="nil"/>
              <w:bottom w:val="nil"/>
              <w:right w:val="nil"/>
            </w:tcBorders>
            <w:shd w:val="clear" w:color="auto" w:fill="auto"/>
            <w:vAlign w:val="bottom"/>
            <w:hideMark/>
          </w:tcPr>
          <w:p w14:paraId="4896273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477 </w:t>
            </w:r>
          </w:p>
        </w:tc>
        <w:tc>
          <w:tcPr>
            <w:tcW w:w="1000" w:type="dxa"/>
            <w:tcBorders>
              <w:top w:val="nil"/>
              <w:left w:val="nil"/>
              <w:bottom w:val="nil"/>
              <w:right w:val="nil"/>
            </w:tcBorders>
            <w:shd w:val="clear" w:color="auto" w:fill="auto"/>
            <w:vAlign w:val="bottom"/>
            <w:hideMark/>
          </w:tcPr>
          <w:p w14:paraId="436BAD5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1.432 </w:t>
            </w:r>
          </w:p>
        </w:tc>
        <w:tc>
          <w:tcPr>
            <w:tcW w:w="1040" w:type="dxa"/>
            <w:tcBorders>
              <w:top w:val="nil"/>
              <w:left w:val="nil"/>
              <w:bottom w:val="nil"/>
              <w:right w:val="single" w:sz="4" w:space="0" w:color="auto"/>
            </w:tcBorders>
            <w:shd w:val="clear" w:color="auto" w:fill="auto"/>
            <w:vAlign w:val="bottom"/>
            <w:hideMark/>
          </w:tcPr>
          <w:p w14:paraId="14E6CC1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3.420 </w:t>
            </w:r>
          </w:p>
        </w:tc>
      </w:tr>
      <w:tr w:rsidR="003F1C37" w:rsidRPr="003F1C37" w14:paraId="5927EC4C"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0751A0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Montfoort</w:t>
            </w:r>
          </w:p>
        </w:tc>
        <w:tc>
          <w:tcPr>
            <w:tcW w:w="1500" w:type="dxa"/>
            <w:tcBorders>
              <w:top w:val="nil"/>
              <w:left w:val="nil"/>
              <w:bottom w:val="nil"/>
              <w:right w:val="single" w:sz="4" w:space="0" w:color="auto"/>
            </w:tcBorders>
            <w:shd w:val="clear" w:color="auto" w:fill="auto"/>
            <w:noWrap/>
            <w:vAlign w:val="bottom"/>
            <w:hideMark/>
          </w:tcPr>
          <w:p w14:paraId="1774A90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71846E1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10.501 </w:t>
            </w:r>
          </w:p>
        </w:tc>
        <w:tc>
          <w:tcPr>
            <w:tcW w:w="700" w:type="dxa"/>
            <w:tcBorders>
              <w:top w:val="nil"/>
              <w:left w:val="nil"/>
              <w:bottom w:val="nil"/>
              <w:right w:val="nil"/>
            </w:tcBorders>
            <w:shd w:val="clear" w:color="auto" w:fill="auto"/>
            <w:noWrap/>
            <w:vAlign w:val="bottom"/>
            <w:hideMark/>
          </w:tcPr>
          <w:p w14:paraId="00815E2D"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0,3%</w:t>
            </w:r>
          </w:p>
        </w:tc>
        <w:tc>
          <w:tcPr>
            <w:tcW w:w="880" w:type="dxa"/>
            <w:tcBorders>
              <w:top w:val="nil"/>
              <w:left w:val="nil"/>
              <w:bottom w:val="nil"/>
              <w:right w:val="nil"/>
            </w:tcBorders>
            <w:shd w:val="clear" w:color="auto" w:fill="auto"/>
            <w:vAlign w:val="bottom"/>
            <w:hideMark/>
          </w:tcPr>
          <w:p w14:paraId="7E069FC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145 </w:t>
            </w:r>
          </w:p>
        </w:tc>
        <w:tc>
          <w:tcPr>
            <w:tcW w:w="1000" w:type="dxa"/>
            <w:tcBorders>
              <w:top w:val="nil"/>
              <w:left w:val="nil"/>
              <w:bottom w:val="nil"/>
              <w:right w:val="nil"/>
            </w:tcBorders>
            <w:shd w:val="clear" w:color="auto" w:fill="auto"/>
            <w:vAlign w:val="bottom"/>
            <w:hideMark/>
          </w:tcPr>
          <w:p w14:paraId="5F2BFD9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436 </w:t>
            </w:r>
          </w:p>
        </w:tc>
        <w:tc>
          <w:tcPr>
            <w:tcW w:w="1040" w:type="dxa"/>
            <w:tcBorders>
              <w:top w:val="nil"/>
              <w:left w:val="nil"/>
              <w:bottom w:val="nil"/>
              <w:right w:val="single" w:sz="4" w:space="0" w:color="auto"/>
            </w:tcBorders>
            <w:shd w:val="clear" w:color="auto" w:fill="auto"/>
            <w:vAlign w:val="bottom"/>
            <w:hideMark/>
          </w:tcPr>
          <w:p w14:paraId="35AD6C7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1.041 </w:t>
            </w:r>
          </w:p>
        </w:tc>
      </w:tr>
      <w:tr w:rsidR="003F1C37" w:rsidRPr="003F1C37" w14:paraId="03AFF082"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6BA1073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Nieuwegein</w:t>
            </w:r>
          </w:p>
        </w:tc>
        <w:tc>
          <w:tcPr>
            <w:tcW w:w="1500" w:type="dxa"/>
            <w:tcBorders>
              <w:top w:val="nil"/>
              <w:left w:val="nil"/>
              <w:bottom w:val="nil"/>
              <w:right w:val="single" w:sz="4" w:space="0" w:color="auto"/>
            </w:tcBorders>
            <w:shd w:val="clear" w:color="auto" w:fill="auto"/>
            <w:noWrap/>
            <w:vAlign w:val="bottom"/>
            <w:hideMark/>
          </w:tcPr>
          <w:p w14:paraId="1B9F6AA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4DCB6B3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49.765 </w:t>
            </w:r>
          </w:p>
        </w:tc>
        <w:tc>
          <w:tcPr>
            <w:tcW w:w="700" w:type="dxa"/>
            <w:tcBorders>
              <w:top w:val="nil"/>
              <w:left w:val="nil"/>
              <w:bottom w:val="nil"/>
              <w:right w:val="nil"/>
            </w:tcBorders>
            <w:shd w:val="clear" w:color="auto" w:fill="auto"/>
            <w:noWrap/>
            <w:vAlign w:val="bottom"/>
            <w:hideMark/>
          </w:tcPr>
          <w:p w14:paraId="0FDC57E6"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1,4%</w:t>
            </w:r>
          </w:p>
        </w:tc>
        <w:tc>
          <w:tcPr>
            <w:tcW w:w="880" w:type="dxa"/>
            <w:tcBorders>
              <w:top w:val="nil"/>
              <w:left w:val="nil"/>
              <w:bottom w:val="nil"/>
              <w:right w:val="nil"/>
            </w:tcBorders>
            <w:shd w:val="clear" w:color="auto" w:fill="auto"/>
            <w:vAlign w:val="bottom"/>
            <w:hideMark/>
          </w:tcPr>
          <w:p w14:paraId="1324DA4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688 </w:t>
            </w:r>
          </w:p>
        </w:tc>
        <w:tc>
          <w:tcPr>
            <w:tcW w:w="1000" w:type="dxa"/>
            <w:tcBorders>
              <w:top w:val="nil"/>
              <w:left w:val="nil"/>
              <w:bottom w:val="nil"/>
              <w:right w:val="nil"/>
            </w:tcBorders>
            <w:shd w:val="clear" w:color="auto" w:fill="auto"/>
            <w:vAlign w:val="bottom"/>
            <w:hideMark/>
          </w:tcPr>
          <w:p w14:paraId="07D60FA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2.064 </w:t>
            </w:r>
          </w:p>
        </w:tc>
        <w:tc>
          <w:tcPr>
            <w:tcW w:w="1040" w:type="dxa"/>
            <w:tcBorders>
              <w:top w:val="nil"/>
              <w:left w:val="nil"/>
              <w:bottom w:val="nil"/>
              <w:right w:val="single" w:sz="4" w:space="0" w:color="auto"/>
            </w:tcBorders>
            <w:shd w:val="clear" w:color="auto" w:fill="auto"/>
            <w:vAlign w:val="bottom"/>
            <w:hideMark/>
          </w:tcPr>
          <w:p w14:paraId="3A239FA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4.931 </w:t>
            </w:r>
          </w:p>
        </w:tc>
      </w:tr>
      <w:tr w:rsidR="003F1C37" w:rsidRPr="003F1C37" w14:paraId="0BF58595"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FAA58D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Noordoostpolder</w:t>
            </w:r>
          </w:p>
        </w:tc>
        <w:tc>
          <w:tcPr>
            <w:tcW w:w="1500" w:type="dxa"/>
            <w:tcBorders>
              <w:top w:val="nil"/>
              <w:left w:val="nil"/>
              <w:bottom w:val="nil"/>
              <w:right w:val="single" w:sz="4" w:space="0" w:color="auto"/>
            </w:tcBorders>
            <w:shd w:val="clear" w:color="auto" w:fill="auto"/>
            <w:noWrap/>
            <w:vAlign w:val="bottom"/>
            <w:hideMark/>
          </w:tcPr>
          <w:p w14:paraId="151FBB2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Flevoland</w:t>
            </w:r>
          </w:p>
        </w:tc>
        <w:tc>
          <w:tcPr>
            <w:tcW w:w="1180" w:type="dxa"/>
            <w:tcBorders>
              <w:top w:val="nil"/>
              <w:left w:val="nil"/>
              <w:bottom w:val="nil"/>
              <w:right w:val="single" w:sz="4" w:space="0" w:color="auto"/>
            </w:tcBorders>
            <w:shd w:val="clear" w:color="auto" w:fill="auto"/>
            <w:noWrap/>
            <w:vAlign w:val="bottom"/>
            <w:hideMark/>
          </w:tcPr>
          <w:p w14:paraId="7D5B88B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34.908 </w:t>
            </w:r>
          </w:p>
        </w:tc>
        <w:tc>
          <w:tcPr>
            <w:tcW w:w="700" w:type="dxa"/>
            <w:tcBorders>
              <w:top w:val="nil"/>
              <w:left w:val="nil"/>
              <w:bottom w:val="nil"/>
              <w:right w:val="nil"/>
            </w:tcBorders>
            <w:shd w:val="clear" w:color="auto" w:fill="auto"/>
            <w:noWrap/>
            <w:vAlign w:val="bottom"/>
            <w:hideMark/>
          </w:tcPr>
          <w:p w14:paraId="3B99454D"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1,0%</w:t>
            </w:r>
          </w:p>
        </w:tc>
        <w:tc>
          <w:tcPr>
            <w:tcW w:w="880" w:type="dxa"/>
            <w:tcBorders>
              <w:top w:val="nil"/>
              <w:left w:val="nil"/>
              <w:bottom w:val="nil"/>
              <w:right w:val="nil"/>
            </w:tcBorders>
            <w:shd w:val="clear" w:color="auto" w:fill="auto"/>
            <w:vAlign w:val="bottom"/>
            <w:hideMark/>
          </w:tcPr>
          <w:p w14:paraId="02046D0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482 </w:t>
            </w:r>
          </w:p>
        </w:tc>
        <w:tc>
          <w:tcPr>
            <w:tcW w:w="1000" w:type="dxa"/>
            <w:tcBorders>
              <w:top w:val="nil"/>
              <w:left w:val="nil"/>
              <w:bottom w:val="nil"/>
              <w:right w:val="nil"/>
            </w:tcBorders>
            <w:shd w:val="clear" w:color="auto" w:fill="auto"/>
            <w:vAlign w:val="bottom"/>
            <w:hideMark/>
          </w:tcPr>
          <w:p w14:paraId="7ED72EA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1.448 </w:t>
            </w:r>
          </w:p>
        </w:tc>
        <w:tc>
          <w:tcPr>
            <w:tcW w:w="1040" w:type="dxa"/>
            <w:tcBorders>
              <w:top w:val="nil"/>
              <w:left w:val="nil"/>
              <w:bottom w:val="nil"/>
              <w:right w:val="single" w:sz="4" w:space="0" w:color="auto"/>
            </w:tcBorders>
            <w:shd w:val="clear" w:color="auto" w:fill="auto"/>
            <w:vAlign w:val="bottom"/>
            <w:hideMark/>
          </w:tcPr>
          <w:p w14:paraId="2026CF9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3.459 </w:t>
            </w:r>
          </w:p>
        </w:tc>
      </w:tr>
      <w:tr w:rsidR="003F1C37" w:rsidRPr="003F1C37" w14:paraId="6D82B059"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6512566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Oostzaan</w:t>
            </w:r>
          </w:p>
        </w:tc>
        <w:tc>
          <w:tcPr>
            <w:tcW w:w="1500" w:type="dxa"/>
            <w:tcBorders>
              <w:top w:val="nil"/>
              <w:left w:val="nil"/>
              <w:bottom w:val="nil"/>
              <w:right w:val="single" w:sz="4" w:space="0" w:color="auto"/>
            </w:tcBorders>
            <w:shd w:val="clear" w:color="auto" w:fill="auto"/>
            <w:noWrap/>
            <w:vAlign w:val="bottom"/>
            <w:hideMark/>
          </w:tcPr>
          <w:p w14:paraId="0B8AA7B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61518EB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7.561 </w:t>
            </w:r>
          </w:p>
        </w:tc>
        <w:tc>
          <w:tcPr>
            <w:tcW w:w="700" w:type="dxa"/>
            <w:tcBorders>
              <w:top w:val="nil"/>
              <w:left w:val="nil"/>
              <w:bottom w:val="nil"/>
              <w:right w:val="nil"/>
            </w:tcBorders>
            <w:shd w:val="clear" w:color="auto" w:fill="auto"/>
            <w:noWrap/>
            <w:vAlign w:val="bottom"/>
            <w:hideMark/>
          </w:tcPr>
          <w:p w14:paraId="10DDF8C0"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0,2%</w:t>
            </w:r>
          </w:p>
        </w:tc>
        <w:tc>
          <w:tcPr>
            <w:tcW w:w="880" w:type="dxa"/>
            <w:tcBorders>
              <w:top w:val="nil"/>
              <w:left w:val="nil"/>
              <w:bottom w:val="nil"/>
              <w:right w:val="nil"/>
            </w:tcBorders>
            <w:shd w:val="clear" w:color="auto" w:fill="auto"/>
            <w:vAlign w:val="bottom"/>
            <w:hideMark/>
          </w:tcPr>
          <w:p w14:paraId="2E9C9C8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104 </w:t>
            </w:r>
          </w:p>
        </w:tc>
        <w:tc>
          <w:tcPr>
            <w:tcW w:w="1000" w:type="dxa"/>
            <w:tcBorders>
              <w:top w:val="nil"/>
              <w:left w:val="nil"/>
              <w:bottom w:val="nil"/>
              <w:right w:val="nil"/>
            </w:tcBorders>
            <w:shd w:val="clear" w:color="auto" w:fill="auto"/>
            <w:vAlign w:val="bottom"/>
            <w:hideMark/>
          </w:tcPr>
          <w:p w14:paraId="492E3C3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314 </w:t>
            </w:r>
          </w:p>
        </w:tc>
        <w:tc>
          <w:tcPr>
            <w:tcW w:w="1040" w:type="dxa"/>
            <w:tcBorders>
              <w:top w:val="nil"/>
              <w:left w:val="nil"/>
              <w:bottom w:val="nil"/>
              <w:right w:val="single" w:sz="4" w:space="0" w:color="auto"/>
            </w:tcBorders>
            <w:shd w:val="clear" w:color="auto" w:fill="auto"/>
            <w:vAlign w:val="bottom"/>
            <w:hideMark/>
          </w:tcPr>
          <w:p w14:paraId="0DC8DAE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749 </w:t>
            </w:r>
          </w:p>
        </w:tc>
      </w:tr>
      <w:tr w:rsidR="003F1C37" w:rsidRPr="003F1C37" w14:paraId="64FDB5F3"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9B43DC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Opmeer</w:t>
            </w:r>
          </w:p>
        </w:tc>
        <w:tc>
          <w:tcPr>
            <w:tcW w:w="1500" w:type="dxa"/>
            <w:tcBorders>
              <w:top w:val="nil"/>
              <w:left w:val="nil"/>
              <w:bottom w:val="nil"/>
              <w:right w:val="single" w:sz="4" w:space="0" w:color="auto"/>
            </w:tcBorders>
            <w:shd w:val="clear" w:color="auto" w:fill="auto"/>
            <w:noWrap/>
            <w:vAlign w:val="bottom"/>
            <w:hideMark/>
          </w:tcPr>
          <w:p w14:paraId="22B276B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33816DF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9.156 </w:t>
            </w:r>
          </w:p>
        </w:tc>
        <w:tc>
          <w:tcPr>
            <w:tcW w:w="700" w:type="dxa"/>
            <w:tcBorders>
              <w:top w:val="nil"/>
              <w:left w:val="nil"/>
              <w:bottom w:val="nil"/>
              <w:right w:val="nil"/>
            </w:tcBorders>
            <w:shd w:val="clear" w:color="auto" w:fill="auto"/>
            <w:noWrap/>
            <w:vAlign w:val="bottom"/>
            <w:hideMark/>
          </w:tcPr>
          <w:p w14:paraId="0764D056"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0,3%</w:t>
            </w:r>
          </w:p>
        </w:tc>
        <w:tc>
          <w:tcPr>
            <w:tcW w:w="880" w:type="dxa"/>
            <w:tcBorders>
              <w:top w:val="nil"/>
              <w:left w:val="nil"/>
              <w:bottom w:val="nil"/>
              <w:right w:val="nil"/>
            </w:tcBorders>
            <w:shd w:val="clear" w:color="auto" w:fill="auto"/>
            <w:vAlign w:val="bottom"/>
            <w:hideMark/>
          </w:tcPr>
          <w:p w14:paraId="419935C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127 </w:t>
            </w:r>
          </w:p>
        </w:tc>
        <w:tc>
          <w:tcPr>
            <w:tcW w:w="1000" w:type="dxa"/>
            <w:tcBorders>
              <w:top w:val="nil"/>
              <w:left w:val="nil"/>
              <w:bottom w:val="nil"/>
              <w:right w:val="nil"/>
            </w:tcBorders>
            <w:shd w:val="clear" w:color="auto" w:fill="auto"/>
            <w:vAlign w:val="bottom"/>
            <w:hideMark/>
          </w:tcPr>
          <w:p w14:paraId="2DB0F88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380 </w:t>
            </w:r>
          </w:p>
        </w:tc>
        <w:tc>
          <w:tcPr>
            <w:tcW w:w="1040" w:type="dxa"/>
            <w:tcBorders>
              <w:top w:val="nil"/>
              <w:left w:val="nil"/>
              <w:bottom w:val="nil"/>
              <w:right w:val="single" w:sz="4" w:space="0" w:color="auto"/>
            </w:tcBorders>
            <w:shd w:val="clear" w:color="auto" w:fill="auto"/>
            <w:vAlign w:val="bottom"/>
            <w:hideMark/>
          </w:tcPr>
          <w:p w14:paraId="793AEF5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907 </w:t>
            </w:r>
          </w:p>
        </w:tc>
      </w:tr>
      <w:tr w:rsidR="003F1C37" w:rsidRPr="003F1C37" w14:paraId="3DA93102"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743A0C2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Ouder-Amstel</w:t>
            </w:r>
          </w:p>
        </w:tc>
        <w:tc>
          <w:tcPr>
            <w:tcW w:w="1500" w:type="dxa"/>
            <w:tcBorders>
              <w:top w:val="nil"/>
              <w:left w:val="nil"/>
              <w:bottom w:val="nil"/>
              <w:right w:val="single" w:sz="4" w:space="0" w:color="auto"/>
            </w:tcBorders>
            <w:shd w:val="clear" w:color="auto" w:fill="auto"/>
            <w:noWrap/>
            <w:vAlign w:val="bottom"/>
            <w:hideMark/>
          </w:tcPr>
          <w:p w14:paraId="71F1556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5266992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10.637 </w:t>
            </w:r>
          </w:p>
        </w:tc>
        <w:tc>
          <w:tcPr>
            <w:tcW w:w="700" w:type="dxa"/>
            <w:tcBorders>
              <w:top w:val="nil"/>
              <w:left w:val="nil"/>
              <w:bottom w:val="nil"/>
              <w:right w:val="nil"/>
            </w:tcBorders>
            <w:shd w:val="clear" w:color="auto" w:fill="auto"/>
            <w:noWrap/>
            <w:vAlign w:val="bottom"/>
            <w:hideMark/>
          </w:tcPr>
          <w:p w14:paraId="450E3852"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0,3%</w:t>
            </w:r>
          </w:p>
        </w:tc>
        <w:tc>
          <w:tcPr>
            <w:tcW w:w="880" w:type="dxa"/>
            <w:tcBorders>
              <w:top w:val="nil"/>
              <w:left w:val="nil"/>
              <w:bottom w:val="nil"/>
              <w:right w:val="nil"/>
            </w:tcBorders>
            <w:shd w:val="clear" w:color="auto" w:fill="auto"/>
            <w:vAlign w:val="bottom"/>
            <w:hideMark/>
          </w:tcPr>
          <w:p w14:paraId="4D9382B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147 </w:t>
            </w:r>
          </w:p>
        </w:tc>
        <w:tc>
          <w:tcPr>
            <w:tcW w:w="1000" w:type="dxa"/>
            <w:tcBorders>
              <w:top w:val="nil"/>
              <w:left w:val="nil"/>
              <w:bottom w:val="nil"/>
              <w:right w:val="nil"/>
            </w:tcBorders>
            <w:shd w:val="clear" w:color="auto" w:fill="auto"/>
            <w:vAlign w:val="bottom"/>
            <w:hideMark/>
          </w:tcPr>
          <w:p w14:paraId="2F0BB4E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441 </w:t>
            </w:r>
          </w:p>
        </w:tc>
        <w:tc>
          <w:tcPr>
            <w:tcW w:w="1040" w:type="dxa"/>
            <w:tcBorders>
              <w:top w:val="nil"/>
              <w:left w:val="nil"/>
              <w:bottom w:val="nil"/>
              <w:right w:val="single" w:sz="4" w:space="0" w:color="auto"/>
            </w:tcBorders>
            <w:shd w:val="clear" w:color="auto" w:fill="auto"/>
            <w:vAlign w:val="bottom"/>
            <w:hideMark/>
          </w:tcPr>
          <w:p w14:paraId="6F26C6E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1.054 </w:t>
            </w:r>
          </w:p>
        </w:tc>
      </w:tr>
      <w:tr w:rsidR="003F1C37" w:rsidRPr="003F1C37" w14:paraId="4D792EAF"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1EC9F04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Oudewater</w:t>
            </w:r>
          </w:p>
        </w:tc>
        <w:tc>
          <w:tcPr>
            <w:tcW w:w="1500" w:type="dxa"/>
            <w:tcBorders>
              <w:top w:val="nil"/>
              <w:left w:val="nil"/>
              <w:bottom w:val="nil"/>
              <w:right w:val="single" w:sz="4" w:space="0" w:color="auto"/>
            </w:tcBorders>
            <w:shd w:val="clear" w:color="auto" w:fill="auto"/>
            <w:noWrap/>
            <w:vAlign w:val="bottom"/>
            <w:hideMark/>
          </w:tcPr>
          <w:p w14:paraId="4413590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354BA38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7.796 </w:t>
            </w:r>
          </w:p>
        </w:tc>
        <w:tc>
          <w:tcPr>
            <w:tcW w:w="700" w:type="dxa"/>
            <w:tcBorders>
              <w:top w:val="nil"/>
              <w:left w:val="nil"/>
              <w:bottom w:val="nil"/>
              <w:right w:val="nil"/>
            </w:tcBorders>
            <w:shd w:val="clear" w:color="auto" w:fill="auto"/>
            <w:noWrap/>
            <w:vAlign w:val="bottom"/>
            <w:hideMark/>
          </w:tcPr>
          <w:p w14:paraId="31CD7C83"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0,2%</w:t>
            </w:r>
          </w:p>
        </w:tc>
        <w:tc>
          <w:tcPr>
            <w:tcW w:w="880" w:type="dxa"/>
            <w:tcBorders>
              <w:top w:val="nil"/>
              <w:left w:val="nil"/>
              <w:bottom w:val="nil"/>
              <w:right w:val="nil"/>
            </w:tcBorders>
            <w:shd w:val="clear" w:color="auto" w:fill="auto"/>
            <w:vAlign w:val="bottom"/>
            <w:hideMark/>
          </w:tcPr>
          <w:p w14:paraId="332E7AD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108 </w:t>
            </w:r>
          </w:p>
        </w:tc>
        <w:tc>
          <w:tcPr>
            <w:tcW w:w="1000" w:type="dxa"/>
            <w:tcBorders>
              <w:top w:val="nil"/>
              <w:left w:val="nil"/>
              <w:bottom w:val="nil"/>
              <w:right w:val="nil"/>
            </w:tcBorders>
            <w:shd w:val="clear" w:color="auto" w:fill="auto"/>
            <w:vAlign w:val="bottom"/>
            <w:hideMark/>
          </w:tcPr>
          <w:p w14:paraId="192B6E5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323 </w:t>
            </w:r>
          </w:p>
        </w:tc>
        <w:tc>
          <w:tcPr>
            <w:tcW w:w="1040" w:type="dxa"/>
            <w:tcBorders>
              <w:top w:val="nil"/>
              <w:left w:val="nil"/>
              <w:bottom w:val="nil"/>
              <w:right w:val="single" w:sz="4" w:space="0" w:color="auto"/>
            </w:tcBorders>
            <w:shd w:val="clear" w:color="auto" w:fill="auto"/>
            <w:vAlign w:val="bottom"/>
            <w:hideMark/>
          </w:tcPr>
          <w:p w14:paraId="32359A9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772 </w:t>
            </w:r>
          </w:p>
        </w:tc>
      </w:tr>
      <w:tr w:rsidR="003F1C37" w:rsidRPr="003F1C37" w14:paraId="6C25BCD6"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D00CB8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Purmerend</w:t>
            </w:r>
          </w:p>
        </w:tc>
        <w:tc>
          <w:tcPr>
            <w:tcW w:w="1500" w:type="dxa"/>
            <w:tcBorders>
              <w:top w:val="nil"/>
              <w:left w:val="nil"/>
              <w:bottom w:val="nil"/>
              <w:right w:val="single" w:sz="4" w:space="0" w:color="auto"/>
            </w:tcBorders>
            <w:shd w:val="clear" w:color="auto" w:fill="auto"/>
            <w:noWrap/>
            <w:vAlign w:val="bottom"/>
            <w:hideMark/>
          </w:tcPr>
          <w:p w14:paraId="628C358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37EF880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63.343 </w:t>
            </w:r>
          </w:p>
        </w:tc>
        <w:tc>
          <w:tcPr>
            <w:tcW w:w="700" w:type="dxa"/>
            <w:tcBorders>
              <w:top w:val="nil"/>
              <w:left w:val="nil"/>
              <w:bottom w:val="nil"/>
              <w:right w:val="nil"/>
            </w:tcBorders>
            <w:shd w:val="clear" w:color="auto" w:fill="auto"/>
            <w:noWrap/>
            <w:vAlign w:val="bottom"/>
            <w:hideMark/>
          </w:tcPr>
          <w:p w14:paraId="7B42C058"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1,8%</w:t>
            </w:r>
          </w:p>
        </w:tc>
        <w:tc>
          <w:tcPr>
            <w:tcW w:w="880" w:type="dxa"/>
            <w:tcBorders>
              <w:top w:val="nil"/>
              <w:left w:val="nil"/>
              <w:bottom w:val="nil"/>
              <w:right w:val="nil"/>
            </w:tcBorders>
            <w:shd w:val="clear" w:color="auto" w:fill="auto"/>
            <w:vAlign w:val="bottom"/>
            <w:hideMark/>
          </w:tcPr>
          <w:p w14:paraId="4AD9F29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875 </w:t>
            </w:r>
          </w:p>
        </w:tc>
        <w:tc>
          <w:tcPr>
            <w:tcW w:w="1000" w:type="dxa"/>
            <w:tcBorders>
              <w:top w:val="nil"/>
              <w:left w:val="nil"/>
              <w:bottom w:val="nil"/>
              <w:right w:val="nil"/>
            </w:tcBorders>
            <w:shd w:val="clear" w:color="auto" w:fill="auto"/>
            <w:vAlign w:val="bottom"/>
            <w:hideMark/>
          </w:tcPr>
          <w:p w14:paraId="263B959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2.627 </w:t>
            </w:r>
          </w:p>
        </w:tc>
        <w:tc>
          <w:tcPr>
            <w:tcW w:w="1040" w:type="dxa"/>
            <w:tcBorders>
              <w:top w:val="nil"/>
              <w:left w:val="nil"/>
              <w:bottom w:val="nil"/>
              <w:right w:val="single" w:sz="4" w:space="0" w:color="auto"/>
            </w:tcBorders>
            <w:shd w:val="clear" w:color="auto" w:fill="auto"/>
            <w:vAlign w:val="bottom"/>
            <w:hideMark/>
          </w:tcPr>
          <w:p w14:paraId="56E6B7C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6.276 </w:t>
            </w:r>
          </w:p>
        </w:tc>
      </w:tr>
      <w:tr w:rsidR="003F1C37" w:rsidRPr="003F1C37" w14:paraId="70AED3D9"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7ECA52A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Renswoude</w:t>
            </w:r>
          </w:p>
        </w:tc>
        <w:tc>
          <w:tcPr>
            <w:tcW w:w="1500" w:type="dxa"/>
            <w:tcBorders>
              <w:top w:val="nil"/>
              <w:left w:val="nil"/>
              <w:bottom w:val="nil"/>
              <w:right w:val="single" w:sz="4" w:space="0" w:color="auto"/>
            </w:tcBorders>
            <w:shd w:val="clear" w:color="auto" w:fill="auto"/>
            <w:noWrap/>
            <w:vAlign w:val="bottom"/>
            <w:hideMark/>
          </w:tcPr>
          <w:p w14:paraId="32D0D21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1019847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3.744 </w:t>
            </w:r>
          </w:p>
        </w:tc>
        <w:tc>
          <w:tcPr>
            <w:tcW w:w="700" w:type="dxa"/>
            <w:tcBorders>
              <w:top w:val="nil"/>
              <w:left w:val="nil"/>
              <w:bottom w:val="nil"/>
              <w:right w:val="nil"/>
            </w:tcBorders>
            <w:shd w:val="clear" w:color="auto" w:fill="auto"/>
            <w:noWrap/>
            <w:vAlign w:val="bottom"/>
            <w:hideMark/>
          </w:tcPr>
          <w:p w14:paraId="3DFBB295"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0,1%</w:t>
            </w:r>
          </w:p>
        </w:tc>
        <w:tc>
          <w:tcPr>
            <w:tcW w:w="880" w:type="dxa"/>
            <w:tcBorders>
              <w:top w:val="nil"/>
              <w:left w:val="nil"/>
              <w:bottom w:val="nil"/>
              <w:right w:val="nil"/>
            </w:tcBorders>
            <w:shd w:val="clear" w:color="auto" w:fill="auto"/>
            <w:vAlign w:val="bottom"/>
            <w:hideMark/>
          </w:tcPr>
          <w:p w14:paraId="7BFEC07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52 </w:t>
            </w:r>
          </w:p>
        </w:tc>
        <w:tc>
          <w:tcPr>
            <w:tcW w:w="1000" w:type="dxa"/>
            <w:tcBorders>
              <w:top w:val="nil"/>
              <w:left w:val="nil"/>
              <w:bottom w:val="nil"/>
              <w:right w:val="nil"/>
            </w:tcBorders>
            <w:shd w:val="clear" w:color="auto" w:fill="auto"/>
            <w:vAlign w:val="bottom"/>
            <w:hideMark/>
          </w:tcPr>
          <w:p w14:paraId="77297F5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155 </w:t>
            </w:r>
          </w:p>
        </w:tc>
        <w:tc>
          <w:tcPr>
            <w:tcW w:w="1040" w:type="dxa"/>
            <w:tcBorders>
              <w:top w:val="nil"/>
              <w:left w:val="nil"/>
              <w:bottom w:val="nil"/>
              <w:right w:val="single" w:sz="4" w:space="0" w:color="auto"/>
            </w:tcBorders>
            <w:shd w:val="clear" w:color="auto" w:fill="auto"/>
            <w:vAlign w:val="bottom"/>
            <w:hideMark/>
          </w:tcPr>
          <w:p w14:paraId="0E0854E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371 </w:t>
            </w:r>
          </w:p>
        </w:tc>
      </w:tr>
      <w:tr w:rsidR="003F1C37" w:rsidRPr="003F1C37" w14:paraId="51705D96"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7E021E2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Rhenen</w:t>
            </w:r>
          </w:p>
        </w:tc>
        <w:tc>
          <w:tcPr>
            <w:tcW w:w="1500" w:type="dxa"/>
            <w:tcBorders>
              <w:top w:val="nil"/>
              <w:left w:val="nil"/>
              <w:bottom w:val="nil"/>
              <w:right w:val="single" w:sz="4" w:space="0" w:color="auto"/>
            </w:tcBorders>
            <w:shd w:val="clear" w:color="auto" w:fill="auto"/>
            <w:noWrap/>
            <w:vAlign w:val="bottom"/>
            <w:hideMark/>
          </w:tcPr>
          <w:p w14:paraId="324C5F0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36E5FEF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15.094 </w:t>
            </w:r>
          </w:p>
        </w:tc>
        <w:tc>
          <w:tcPr>
            <w:tcW w:w="700" w:type="dxa"/>
            <w:tcBorders>
              <w:top w:val="nil"/>
              <w:left w:val="nil"/>
              <w:bottom w:val="nil"/>
              <w:right w:val="nil"/>
            </w:tcBorders>
            <w:shd w:val="clear" w:color="auto" w:fill="auto"/>
            <w:noWrap/>
            <w:vAlign w:val="bottom"/>
            <w:hideMark/>
          </w:tcPr>
          <w:p w14:paraId="3073DDE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0,4%</w:t>
            </w:r>
          </w:p>
        </w:tc>
        <w:tc>
          <w:tcPr>
            <w:tcW w:w="880" w:type="dxa"/>
            <w:tcBorders>
              <w:top w:val="nil"/>
              <w:left w:val="nil"/>
              <w:bottom w:val="nil"/>
              <w:right w:val="nil"/>
            </w:tcBorders>
            <w:shd w:val="clear" w:color="auto" w:fill="auto"/>
            <w:vAlign w:val="bottom"/>
            <w:hideMark/>
          </w:tcPr>
          <w:p w14:paraId="6815481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209 </w:t>
            </w:r>
          </w:p>
        </w:tc>
        <w:tc>
          <w:tcPr>
            <w:tcW w:w="1000" w:type="dxa"/>
            <w:tcBorders>
              <w:top w:val="nil"/>
              <w:left w:val="nil"/>
              <w:bottom w:val="nil"/>
              <w:right w:val="nil"/>
            </w:tcBorders>
            <w:shd w:val="clear" w:color="auto" w:fill="auto"/>
            <w:vAlign w:val="bottom"/>
            <w:hideMark/>
          </w:tcPr>
          <w:p w14:paraId="137AFA9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626 </w:t>
            </w:r>
          </w:p>
        </w:tc>
        <w:tc>
          <w:tcPr>
            <w:tcW w:w="1040" w:type="dxa"/>
            <w:tcBorders>
              <w:top w:val="nil"/>
              <w:left w:val="nil"/>
              <w:bottom w:val="nil"/>
              <w:right w:val="single" w:sz="4" w:space="0" w:color="auto"/>
            </w:tcBorders>
            <w:shd w:val="clear" w:color="auto" w:fill="auto"/>
            <w:vAlign w:val="bottom"/>
            <w:hideMark/>
          </w:tcPr>
          <w:p w14:paraId="6FEC25B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1.496 </w:t>
            </w:r>
          </w:p>
        </w:tc>
      </w:tr>
      <w:tr w:rsidR="003F1C37" w:rsidRPr="003F1C37" w14:paraId="5B785197"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EC317A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Schagen</w:t>
            </w:r>
          </w:p>
        </w:tc>
        <w:tc>
          <w:tcPr>
            <w:tcW w:w="1500" w:type="dxa"/>
            <w:tcBorders>
              <w:top w:val="nil"/>
              <w:left w:val="nil"/>
              <w:bottom w:val="nil"/>
              <w:right w:val="single" w:sz="4" w:space="0" w:color="auto"/>
            </w:tcBorders>
            <w:shd w:val="clear" w:color="auto" w:fill="auto"/>
            <w:noWrap/>
            <w:vAlign w:val="bottom"/>
            <w:hideMark/>
          </w:tcPr>
          <w:p w14:paraId="7D6EA16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1831E5E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36.514 </w:t>
            </w:r>
          </w:p>
        </w:tc>
        <w:tc>
          <w:tcPr>
            <w:tcW w:w="700" w:type="dxa"/>
            <w:tcBorders>
              <w:top w:val="nil"/>
              <w:left w:val="nil"/>
              <w:bottom w:val="nil"/>
              <w:right w:val="nil"/>
            </w:tcBorders>
            <w:shd w:val="clear" w:color="auto" w:fill="auto"/>
            <w:noWrap/>
            <w:vAlign w:val="bottom"/>
            <w:hideMark/>
          </w:tcPr>
          <w:p w14:paraId="4D4E66ED"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1,0%</w:t>
            </w:r>
          </w:p>
        </w:tc>
        <w:tc>
          <w:tcPr>
            <w:tcW w:w="880" w:type="dxa"/>
            <w:tcBorders>
              <w:top w:val="nil"/>
              <w:left w:val="nil"/>
              <w:bottom w:val="nil"/>
              <w:right w:val="nil"/>
            </w:tcBorders>
            <w:shd w:val="clear" w:color="auto" w:fill="auto"/>
            <w:vAlign w:val="bottom"/>
            <w:hideMark/>
          </w:tcPr>
          <w:p w14:paraId="53CF63E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505 </w:t>
            </w:r>
          </w:p>
        </w:tc>
        <w:tc>
          <w:tcPr>
            <w:tcW w:w="1000" w:type="dxa"/>
            <w:tcBorders>
              <w:top w:val="nil"/>
              <w:left w:val="nil"/>
              <w:bottom w:val="nil"/>
              <w:right w:val="nil"/>
            </w:tcBorders>
            <w:shd w:val="clear" w:color="auto" w:fill="auto"/>
            <w:vAlign w:val="bottom"/>
            <w:hideMark/>
          </w:tcPr>
          <w:p w14:paraId="563915B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1.515 </w:t>
            </w:r>
          </w:p>
        </w:tc>
        <w:tc>
          <w:tcPr>
            <w:tcW w:w="1040" w:type="dxa"/>
            <w:tcBorders>
              <w:top w:val="nil"/>
              <w:left w:val="nil"/>
              <w:bottom w:val="nil"/>
              <w:right w:val="single" w:sz="4" w:space="0" w:color="auto"/>
            </w:tcBorders>
            <w:shd w:val="clear" w:color="auto" w:fill="auto"/>
            <w:vAlign w:val="bottom"/>
            <w:hideMark/>
          </w:tcPr>
          <w:p w14:paraId="67023A0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3.618 </w:t>
            </w:r>
          </w:p>
        </w:tc>
      </w:tr>
      <w:tr w:rsidR="003F1C37" w:rsidRPr="003F1C37" w14:paraId="66FD8017"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1DEF92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Soest</w:t>
            </w:r>
          </w:p>
        </w:tc>
        <w:tc>
          <w:tcPr>
            <w:tcW w:w="1500" w:type="dxa"/>
            <w:tcBorders>
              <w:top w:val="nil"/>
              <w:left w:val="nil"/>
              <w:bottom w:val="nil"/>
              <w:right w:val="single" w:sz="4" w:space="0" w:color="auto"/>
            </w:tcBorders>
            <w:shd w:val="clear" w:color="auto" w:fill="auto"/>
            <w:noWrap/>
            <w:vAlign w:val="bottom"/>
            <w:hideMark/>
          </w:tcPr>
          <w:p w14:paraId="52092B3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44CB422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35.614 </w:t>
            </w:r>
          </w:p>
        </w:tc>
        <w:tc>
          <w:tcPr>
            <w:tcW w:w="700" w:type="dxa"/>
            <w:tcBorders>
              <w:top w:val="nil"/>
              <w:left w:val="nil"/>
              <w:bottom w:val="nil"/>
              <w:right w:val="nil"/>
            </w:tcBorders>
            <w:shd w:val="clear" w:color="auto" w:fill="auto"/>
            <w:noWrap/>
            <w:vAlign w:val="bottom"/>
            <w:hideMark/>
          </w:tcPr>
          <w:p w14:paraId="44B5D152"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1,0%</w:t>
            </w:r>
          </w:p>
        </w:tc>
        <w:tc>
          <w:tcPr>
            <w:tcW w:w="880" w:type="dxa"/>
            <w:tcBorders>
              <w:top w:val="nil"/>
              <w:left w:val="nil"/>
              <w:bottom w:val="nil"/>
              <w:right w:val="nil"/>
            </w:tcBorders>
            <w:shd w:val="clear" w:color="auto" w:fill="auto"/>
            <w:vAlign w:val="bottom"/>
            <w:hideMark/>
          </w:tcPr>
          <w:p w14:paraId="0E2C19F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492 </w:t>
            </w:r>
          </w:p>
        </w:tc>
        <w:tc>
          <w:tcPr>
            <w:tcW w:w="1000" w:type="dxa"/>
            <w:tcBorders>
              <w:top w:val="nil"/>
              <w:left w:val="nil"/>
              <w:bottom w:val="nil"/>
              <w:right w:val="nil"/>
            </w:tcBorders>
            <w:shd w:val="clear" w:color="auto" w:fill="auto"/>
            <w:vAlign w:val="bottom"/>
            <w:hideMark/>
          </w:tcPr>
          <w:p w14:paraId="4CEE11F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1.477 </w:t>
            </w:r>
          </w:p>
        </w:tc>
        <w:tc>
          <w:tcPr>
            <w:tcW w:w="1040" w:type="dxa"/>
            <w:tcBorders>
              <w:top w:val="nil"/>
              <w:left w:val="nil"/>
              <w:bottom w:val="nil"/>
              <w:right w:val="single" w:sz="4" w:space="0" w:color="auto"/>
            </w:tcBorders>
            <w:shd w:val="clear" w:color="auto" w:fill="auto"/>
            <w:vAlign w:val="bottom"/>
            <w:hideMark/>
          </w:tcPr>
          <w:p w14:paraId="64352C9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3.529 </w:t>
            </w:r>
          </w:p>
        </w:tc>
      </w:tr>
      <w:tr w:rsidR="003F1C37" w:rsidRPr="003F1C37" w14:paraId="1E2D1248"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2627D24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Stede Broec</w:t>
            </w:r>
          </w:p>
        </w:tc>
        <w:tc>
          <w:tcPr>
            <w:tcW w:w="1500" w:type="dxa"/>
            <w:tcBorders>
              <w:top w:val="nil"/>
              <w:left w:val="nil"/>
              <w:bottom w:val="nil"/>
              <w:right w:val="single" w:sz="4" w:space="0" w:color="auto"/>
            </w:tcBorders>
            <w:shd w:val="clear" w:color="auto" w:fill="auto"/>
            <w:noWrap/>
            <w:vAlign w:val="bottom"/>
            <w:hideMark/>
          </w:tcPr>
          <w:p w14:paraId="60BA415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646A4B4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16.720 </w:t>
            </w:r>
          </w:p>
        </w:tc>
        <w:tc>
          <w:tcPr>
            <w:tcW w:w="700" w:type="dxa"/>
            <w:tcBorders>
              <w:top w:val="nil"/>
              <w:left w:val="nil"/>
              <w:bottom w:val="nil"/>
              <w:right w:val="nil"/>
            </w:tcBorders>
            <w:shd w:val="clear" w:color="auto" w:fill="auto"/>
            <w:noWrap/>
            <w:vAlign w:val="bottom"/>
            <w:hideMark/>
          </w:tcPr>
          <w:p w14:paraId="5CD6A900"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0,5%</w:t>
            </w:r>
          </w:p>
        </w:tc>
        <w:tc>
          <w:tcPr>
            <w:tcW w:w="880" w:type="dxa"/>
            <w:tcBorders>
              <w:top w:val="nil"/>
              <w:left w:val="nil"/>
              <w:bottom w:val="nil"/>
              <w:right w:val="nil"/>
            </w:tcBorders>
            <w:shd w:val="clear" w:color="auto" w:fill="auto"/>
            <w:vAlign w:val="bottom"/>
            <w:hideMark/>
          </w:tcPr>
          <w:p w14:paraId="321E466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231 </w:t>
            </w:r>
          </w:p>
        </w:tc>
        <w:tc>
          <w:tcPr>
            <w:tcW w:w="1000" w:type="dxa"/>
            <w:tcBorders>
              <w:top w:val="nil"/>
              <w:left w:val="nil"/>
              <w:bottom w:val="nil"/>
              <w:right w:val="nil"/>
            </w:tcBorders>
            <w:shd w:val="clear" w:color="auto" w:fill="auto"/>
            <w:vAlign w:val="bottom"/>
            <w:hideMark/>
          </w:tcPr>
          <w:p w14:paraId="4E7FE2B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694 </w:t>
            </w:r>
          </w:p>
        </w:tc>
        <w:tc>
          <w:tcPr>
            <w:tcW w:w="1040" w:type="dxa"/>
            <w:tcBorders>
              <w:top w:val="nil"/>
              <w:left w:val="nil"/>
              <w:bottom w:val="nil"/>
              <w:right w:val="single" w:sz="4" w:space="0" w:color="auto"/>
            </w:tcBorders>
            <w:shd w:val="clear" w:color="auto" w:fill="auto"/>
            <w:vAlign w:val="bottom"/>
            <w:hideMark/>
          </w:tcPr>
          <w:p w14:paraId="1B2965A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1.657 </w:t>
            </w:r>
          </w:p>
        </w:tc>
      </w:tr>
      <w:tr w:rsidR="003F1C37" w:rsidRPr="003F1C37" w14:paraId="1781A26B"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223157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Stichtse Vecht</w:t>
            </w:r>
          </w:p>
        </w:tc>
        <w:tc>
          <w:tcPr>
            <w:tcW w:w="1500" w:type="dxa"/>
            <w:tcBorders>
              <w:top w:val="nil"/>
              <w:left w:val="nil"/>
              <w:bottom w:val="nil"/>
              <w:right w:val="single" w:sz="4" w:space="0" w:color="auto"/>
            </w:tcBorders>
            <w:shd w:val="clear" w:color="auto" w:fill="auto"/>
            <w:noWrap/>
            <w:vAlign w:val="bottom"/>
            <w:hideMark/>
          </w:tcPr>
          <w:p w14:paraId="56FC6B9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2CB8AAD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49.462 </w:t>
            </w:r>
          </w:p>
        </w:tc>
        <w:tc>
          <w:tcPr>
            <w:tcW w:w="700" w:type="dxa"/>
            <w:tcBorders>
              <w:top w:val="nil"/>
              <w:left w:val="nil"/>
              <w:bottom w:val="nil"/>
              <w:right w:val="nil"/>
            </w:tcBorders>
            <w:shd w:val="clear" w:color="auto" w:fill="auto"/>
            <w:noWrap/>
            <w:vAlign w:val="bottom"/>
            <w:hideMark/>
          </w:tcPr>
          <w:p w14:paraId="437EE747"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1,4%</w:t>
            </w:r>
          </w:p>
        </w:tc>
        <w:tc>
          <w:tcPr>
            <w:tcW w:w="880" w:type="dxa"/>
            <w:tcBorders>
              <w:top w:val="nil"/>
              <w:left w:val="nil"/>
              <w:bottom w:val="nil"/>
              <w:right w:val="nil"/>
            </w:tcBorders>
            <w:shd w:val="clear" w:color="auto" w:fill="auto"/>
            <w:vAlign w:val="bottom"/>
            <w:hideMark/>
          </w:tcPr>
          <w:p w14:paraId="767B5B3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684 </w:t>
            </w:r>
          </w:p>
        </w:tc>
        <w:tc>
          <w:tcPr>
            <w:tcW w:w="1000" w:type="dxa"/>
            <w:tcBorders>
              <w:top w:val="nil"/>
              <w:left w:val="nil"/>
              <w:bottom w:val="nil"/>
              <w:right w:val="nil"/>
            </w:tcBorders>
            <w:shd w:val="clear" w:color="auto" w:fill="auto"/>
            <w:vAlign w:val="bottom"/>
            <w:hideMark/>
          </w:tcPr>
          <w:p w14:paraId="756757A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2.052 </w:t>
            </w:r>
          </w:p>
        </w:tc>
        <w:tc>
          <w:tcPr>
            <w:tcW w:w="1040" w:type="dxa"/>
            <w:tcBorders>
              <w:top w:val="nil"/>
              <w:left w:val="nil"/>
              <w:bottom w:val="nil"/>
              <w:right w:val="single" w:sz="4" w:space="0" w:color="auto"/>
            </w:tcBorders>
            <w:shd w:val="clear" w:color="auto" w:fill="auto"/>
            <w:vAlign w:val="bottom"/>
            <w:hideMark/>
          </w:tcPr>
          <w:p w14:paraId="189B43B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4.901 </w:t>
            </w:r>
          </w:p>
        </w:tc>
      </w:tr>
      <w:tr w:rsidR="003F1C37" w:rsidRPr="003F1C37" w14:paraId="2EC73F73"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63409BA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Texel</w:t>
            </w:r>
          </w:p>
        </w:tc>
        <w:tc>
          <w:tcPr>
            <w:tcW w:w="1500" w:type="dxa"/>
            <w:tcBorders>
              <w:top w:val="nil"/>
              <w:left w:val="nil"/>
              <w:bottom w:val="nil"/>
              <w:right w:val="single" w:sz="4" w:space="0" w:color="auto"/>
            </w:tcBorders>
            <w:shd w:val="clear" w:color="auto" w:fill="auto"/>
            <w:noWrap/>
            <w:vAlign w:val="bottom"/>
            <w:hideMark/>
          </w:tcPr>
          <w:p w14:paraId="40A0BCD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7178ABF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10.985 </w:t>
            </w:r>
          </w:p>
        </w:tc>
        <w:tc>
          <w:tcPr>
            <w:tcW w:w="700" w:type="dxa"/>
            <w:tcBorders>
              <w:top w:val="nil"/>
              <w:left w:val="nil"/>
              <w:bottom w:val="nil"/>
              <w:right w:val="nil"/>
            </w:tcBorders>
            <w:shd w:val="clear" w:color="auto" w:fill="auto"/>
            <w:noWrap/>
            <w:vAlign w:val="bottom"/>
            <w:hideMark/>
          </w:tcPr>
          <w:p w14:paraId="3D6AF1BC"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0,3%</w:t>
            </w:r>
          </w:p>
        </w:tc>
        <w:tc>
          <w:tcPr>
            <w:tcW w:w="880" w:type="dxa"/>
            <w:tcBorders>
              <w:top w:val="nil"/>
              <w:left w:val="nil"/>
              <w:bottom w:val="nil"/>
              <w:right w:val="nil"/>
            </w:tcBorders>
            <w:shd w:val="clear" w:color="auto" w:fill="auto"/>
            <w:vAlign w:val="bottom"/>
            <w:hideMark/>
          </w:tcPr>
          <w:p w14:paraId="4AC897A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152 </w:t>
            </w:r>
          </w:p>
        </w:tc>
        <w:tc>
          <w:tcPr>
            <w:tcW w:w="1000" w:type="dxa"/>
            <w:tcBorders>
              <w:top w:val="nil"/>
              <w:left w:val="nil"/>
              <w:bottom w:val="nil"/>
              <w:right w:val="nil"/>
            </w:tcBorders>
            <w:shd w:val="clear" w:color="auto" w:fill="auto"/>
            <w:vAlign w:val="bottom"/>
            <w:hideMark/>
          </w:tcPr>
          <w:p w14:paraId="0C6DEFA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456 </w:t>
            </w:r>
          </w:p>
        </w:tc>
        <w:tc>
          <w:tcPr>
            <w:tcW w:w="1040" w:type="dxa"/>
            <w:tcBorders>
              <w:top w:val="nil"/>
              <w:left w:val="nil"/>
              <w:bottom w:val="nil"/>
              <w:right w:val="single" w:sz="4" w:space="0" w:color="auto"/>
            </w:tcBorders>
            <w:shd w:val="clear" w:color="auto" w:fill="auto"/>
            <w:vAlign w:val="bottom"/>
            <w:hideMark/>
          </w:tcPr>
          <w:p w14:paraId="708EBBC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1.088 </w:t>
            </w:r>
          </w:p>
        </w:tc>
      </w:tr>
      <w:tr w:rsidR="003F1C37" w:rsidRPr="003F1C37" w14:paraId="2C758F72"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2CD9FD6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Uitgeest</w:t>
            </w:r>
          </w:p>
        </w:tc>
        <w:tc>
          <w:tcPr>
            <w:tcW w:w="1500" w:type="dxa"/>
            <w:tcBorders>
              <w:top w:val="nil"/>
              <w:left w:val="nil"/>
              <w:bottom w:val="nil"/>
              <w:right w:val="single" w:sz="4" w:space="0" w:color="auto"/>
            </w:tcBorders>
            <w:shd w:val="clear" w:color="auto" w:fill="auto"/>
            <w:noWrap/>
            <w:vAlign w:val="bottom"/>
            <w:hideMark/>
          </w:tcPr>
          <w:p w14:paraId="41DB8EC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1F01DFE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10.319 </w:t>
            </w:r>
          </w:p>
        </w:tc>
        <w:tc>
          <w:tcPr>
            <w:tcW w:w="700" w:type="dxa"/>
            <w:tcBorders>
              <w:top w:val="nil"/>
              <w:left w:val="nil"/>
              <w:bottom w:val="nil"/>
              <w:right w:val="nil"/>
            </w:tcBorders>
            <w:shd w:val="clear" w:color="auto" w:fill="auto"/>
            <w:noWrap/>
            <w:vAlign w:val="bottom"/>
            <w:hideMark/>
          </w:tcPr>
          <w:p w14:paraId="25F893AA"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0,3%</w:t>
            </w:r>
          </w:p>
        </w:tc>
        <w:tc>
          <w:tcPr>
            <w:tcW w:w="880" w:type="dxa"/>
            <w:tcBorders>
              <w:top w:val="nil"/>
              <w:left w:val="nil"/>
              <w:bottom w:val="nil"/>
              <w:right w:val="nil"/>
            </w:tcBorders>
            <w:shd w:val="clear" w:color="auto" w:fill="auto"/>
            <w:vAlign w:val="bottom"/>
            <w:hideMark/>
          </w:tcPr>
          <w:p w14:paraId="4C45B14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143 </w:t>
            </w:r>
          </w:p>
        </w:tc>
        <w:tc>
          <w:tcPr>
            <w:tcW w:w="1000" w:type="dxa"/>
            <w:tcBorders>
              <w:top w:val="nil"/>
              <w:left w:val="nil"/>
              <w:bottom w:val="nil"/>
              <w:right w:val="nil"/>
            </w:tcBorders>
            <w:shd w:val="clear" w:color="auto" w:fill="auto"/>
            <w:vAlign w:val="bottom"/>
            <w:hideMark/>
          </w:tcPr>
          <w:p w14:paraId="28AFE14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428 </w:t>
            </w:r>
          </w:p>
        </w:tc>
        <w:tc>
          <w:tcPr>
            <w:tcW w:w="1040" w:type="dxa"/>
            <w:tcBorders>
              <w:top w:val="nil"/>
              <w:left w:val="nil"/>
              <w:bottom w:val="nil"/>
              <w:right w:val="single" w:sz="4" w:space="0" w:color="auto"/>
            </w:tcBorders>
            <w:shd w:val="clear" w:color="auto" w:fill="auto"/>
            <w:vAlign w:val="bottom"/>
            <w:hideMark/>
          </w:tcPr>
          <w:p w14:paraId="7E62B98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1.022 </w:t>
            </w:r>
          </w:p>
        </w:tc>
      </w:tr>
      <w:tr w:rsidR="003F1C37" w:rsidRPr="003F1C37" w14:paraId="0FCE3333"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50CE2D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Uithoorn</w:t>
            </w:r>
          </w:p>
        </w:tc>
        <w:tc>
          <w:tcPr>
            <w:tcW w:w="1500" w:type="dxa"/>
            <w:tcBorders>
              <w:top w:val="nil"/>
              <w:left w:val="nil"/>
              <w:bottom w:val="nil"/>
              <w:right w:val="single" w:sz="4" w:space="0" w:color="auto"/>
            </w:tcBorders>
            <w:shd w:val="clear" w:color="auto" w:fill="auto"/>
            <w:noWrap/>
            <w:vAlign w:val="bottom"/>
            <w:hideMark/>
          </w:tcPr>
          <w:p w14:paraId="4A67A84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05AE7E0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22.613 </w:t>
            </w:r>
          </w:p>
        </w:tc>
        <w:tc>
          <w:tcPr>
            <w:tcW w:w="700" w:type="dxa"/>
            <w:tcBorders>
              <w:top w:val="nil"/>
              <w:left w:val="nil"/>
              <w:bottom w:val="nil"/>
              <w:right w:val="nil"/>
            </w:tcBorders>
            <w:shd w:val="clear" w:color="auto" w:fill="auto"/>
            <w:noWrap/>
            <w:vAlign w:val="bottom"/>
            <w:hideMark/>
          </w:tcPr>
          <w:p w14:paraId="1225F07F"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0,6%</w:t>
            </w:r>
          </w:p>
        </w:tc>
        <w:tc>
          <w:tcPr>
            <w:tcW w:w="880" w:type="dxa"/>
            <w:tcBorders>
              <w:top w:val="nil"/>
              <w:left w:val="nil"/>
              <w:bottom w:val="nil"/>
              <w:right w:val="nil"/>
            </w:tcBorders>
            <w:shd w:val="clear" w:color="auto" w:fill="auto"/>
            <w:vAlign w:val="bottom"/>
            <w:hideMark/>
          </w:tcPr>
          <w:p w14:paraId="5487E7B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312 </w:t>
            </w:r>
          </w:p>
        </w:tc>
        <w:tc>
          <w:tcPr>
            <w:tcW w:w="1000" w:type="dxa"/>
            <w:tcBorders>
              <w:top w:val="nil"/>
              <w:left w:val="nil"/>
              <w:bottom w:val="nil"/>
              <w:right w:val="nil"/>
            </w:tcBorders>
            <w:shd w:val="clear" w:color="auto" w:fill="auto"/>
            <w:vAlign w:val="bottom"/>
            <w:hideMark/>
          </w:tcPr>
          <w:p w14:paraId="7CD13E6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938 </w:t>
            </w:r>
          </w:p>
        </w:tc>
        <w:tc>
          <w:tcPr>
            <w:tcW w:w="1040" w:type="dxa"/>
            <w:tcBorders>
              <w:top w:val="nil"/>
              <w:left w:val="nil"/>
              <w:bottom w:val="nil"/>
              <w:right w:val="single" w:sz="4" w:space="0" w:color="auto"/>
            </w:tcBorders>
            <w:shd w:val="clear" w:color="auto" w:fill="auto"/>
            <w:vAlign w:val="bottom"/>
            <w:hideMark/>
          </w:tcPr>
          <w:p w14:paraId="0254F1D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2.241 </w:t>
            </w:r>
          </w:p>
        </w:tc>
      </w:tr>
      <w:tr w:rsidR="003F1C37" w:rsidRPr="003F1C37" w14:paraId="16170E93"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748EF58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lastRenderedPageBreak/>
              <w:t>Urk</w:t>
            </w:r>
          </w:p>
        </w:tc>
        <w:tc>
          <w:tcPr>
            <w:tcW w:w="1500" w:type="dxa"/>
            <w:tcBorders>
              <w:top w:val="nil"/>
              <w:left w:val="nil"/>
              <w:bottom w:val="nil"/>
              <w:right w:val="single" w:sz="4" w:space="0" w:color="auto"/>
            </w:tcBorders>
            <w:shd w:val="clear" w:color="auto" w:fill="auto"/>
            <w:noWrap/>
            <w:vAlign w:val="bottom"/>
            <w:hideMark/>
          </w:tcPr>
          <w:p w14:paraId="2B6F4B1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Flevoland</w:t>
            </w:r>
          </w:p>
        </w:tc>
        <w:tc>
          <w:tcPr>
            <w:tcW w:w="1180" w:type="dxa"/>
            <w:tcBorders>
              <w:top w:val="nil"/>
              <w:left w:val="nil"/>
              <w:bottom w:val="nil"/>
              <w:right w:val="single" w:sz="4" w:space="0" w:color="auto"/>
            </w:tcBorders>
            <w:shd w:val="clear" w:color="auto" w:fill="auto"/>
            <w:noWrap/>
            <w:vAlign w:val="bottom"/>
            <w:hideMark/>
          </w:tcPr>
          <w:p w14:paraId="67A15B3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13.100 </w:t>
            </w:r>
          </w:p>
        </w:tc>
        <w:tc>
          <w:tcPr>
            <w:tcW w:w="700" w:type="dxa"/>
            <w:tcBorders>
              <w:top w:val="nil"/>
              <w:left w:val="nil"/>
              <w:bottom w:val="nil"/>
              <w:right w:val="nil"/>
            </w:tcBorders>
            <w:shd w:val="clear" w:color="auto" w:fill="auto"/>
            <w:noWrap/>
            <w:vAlign w:val="bottom"/>
            <w:hideMark/>
          </w:tcPr>
          <w:p w14:paraId="343467D4"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0,4%</w:t>
            </w:r>
          </w:p>
        </w:tc>
        <w:tc>
          <w:tcPr>
            <w:tcW w:w="880" w:type="dxa"/>
            <w:tcBorders>
              <w:top w:val="nil"/>
              <w:left w:val="nil"/>
              <w:bottom w:val="nil"/>
              <w:right w:val="nil"/>
            </w:tcBorders>
            <w:shd w:val="clear" w:color="auto" w:fill="auto"/>
            <w:vAlign w:val="bottom"/>
            <w:hideMark/>
          </w:tcPr>
          <w:p w14:paraId="5980019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181 </w:t>
            </w:r>
          </w:p>
        </w:tc>
        <w:tc>
          <w:tcPr>
            <w:tcW w:w="1000" w:type="dxa"/>
            <w:tcBorders>
              <w:top w:val="nil"/>
              <w:left w:val="nil"/>
              <w:bottom w:val="nil"/>
              <w:right w:val="nil"/>
            </w:tcBorders>
            <w:shd w:val="clear" w:color="auto" w:fill="auto"/>
            <w:vAlign w:val="bottom"/>
            <w:hideMark/>
          </w:tcPr>
          <w:p w14:paraId="1ECAB67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543 </w:t>
            </w:r>
          </w:p>
        </w:tc>
        <w:tc>
          <w:tcPr>
            <w:tcW w:w="1040" w:type="dxa"/>
            <w:tcBorders>
              <w:top w:val="nil"/>
              <w:left w:val="nil"/>
              <w:bottom w:val="nil"/>
              <w:right w:val="single" w:sz="4" w:space="0" w:color="auto"/>
            </w:tcBorders>
            <w:shd w:val="clear" w:color="auto" w:fill="auto"/>
            <w:vAlign w:val="bottom"/>
            <w:hideMark/>
          </w:tcPr>
          <w:p w14:paraId="61C678D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1.298 </w:t>
            </w:r>
          </w:p>
        </w:tc>
      </w:tr>
      <w:tr w:rsidR="003F1C37" w:rsidRPr="003F1C37" w14:paraId="07590B42"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D96ECE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500" w:type="dxa"/>
            <w:tcBorders>
              <w:top w:val="nil"/>
              <w:left w:val="nil"/>
              <w:bottom w:val="nil"/>
              <w:right w:val="single" w:sz="4" w:space="0" w:color="auto"/>
            </w:tcBorders>
            <w:shd w:val="clear" w:color="auto" w:fill="auto"/>
            <w:noWrap/>
            <w:vAlign w:val="bottom"/>
            <w:hideMark/>
          </w:tcPr>
          <w:p w14:paraId="720B290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31325DA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274.911 </w:t>
            </w:r>
          </w:p>
        </w:tc>
        <w:tc>
          <w:tcPr>
            <w:tcW w:w="700" w:type="dxa"/>
            <w:tcBorders>
              <w:top w:val="nil"/>
              <w:left w:val="nil"/>
              <w:bottom w:val="nil"/>
              <w:right w:val="nil"/>
            </w:tcBorders>
            <w:shd w:val="clear" w:color="auto" w:fill="auto"/>
            <w:noWrap/>
            <w:vAlign w:val="bottom"/>
            <w:hideMark/>
          </w:tcPr>
          <w:p w14:paraId="743F43E7"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7,7%</w:t>
            </w:r>
          </w:p>
        </w:tc>
        <w:tc>
          <w:tcPr>
            <w:tcW w:w="880" w:type="dxa"/>
            <w:tcBorders>
              <w:top w:val="nil"/>
              <w:left w:val="nil"/>
              <w:bottom w:val="nil"/>
              <w:right w:val="nil"/>
            </w:tcBorders>
            <w:shd w:val="clear" w:color="auto" w:fill="auto"/>
            <w:vAlign w:val="bottom"/>
            <w:hideMark/>
          </w:tcPr>
          <w:p w14:paraId="3A1CE14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3.799 </w:t>
            </w:r>
          </w:p>
        </w:tc>
        <w:tc>
          <w:tcPr>
            <w:tcW w:w="1000" w:type="dxa"/>
            <w:tcBorders>
              <w:top w:val="nil"/>
              <w:left w:val="nil"/>
              <w:bottom w:val="nil"/>
              <w:right w:val="nil"/>
            </w:tcBorders>
            <w:shd w:val="clear" w:color="auto" w:fill="auto"/>
            <w:vAlign w:val="bottom"/>
            <w:hideMark/>
          </w:tcPr>
          <w:p w14:paraId="00FABA5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11.403 </w:t>
            </w:r>
          </w:p>
        </w:tc>
        <w:tc>
          <w:tcPr>
            <w:tcW w:w="1040" w:type="dxa"/>
            <w:tcBorders>
              <w:top w:val="nil"/>
              <w:left w:val="nil"/>
              <w:bottom w:val="nil"/>
              <w:right w:val="single" w:sz="4" w:space="0" w:color="auto"/>
            </w:tcBorders>
            <w:shd w:val="clear" w:color="auto" w:fill="auto"/>
            <w:vAlign w:val="bottom"/>
            <w:hideMark/>
          </w:tcPr>
          <w:p w14:paraId="2DCC07E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27.240 </w:t>
            </w:r>
          </w:p>
        </w:tc>
      </w:tr>
      <w:tr w:rsidR="003F1C37" w:rsidRPr="003F1C37" w14:paraId="61A276D2"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7E11A12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Utrechtse Heuvelrug</w:t>
            </w:r>
          </w:p>
        </w:tc>
        <w:tc>
          <w:tcPr>
            <w:tcW w:w="1500" w:type="dxa"/>
            <w:tcBorders>
              <w:top w:val="nil"/>
              <w:left w:val="nil"/>
              <w:bottom w:val="nil"/>
              <w:right w:val="single" w:sz="4" w:space="0" w:color="auto"/>
            </w:tcBorders>
            <w:shd w:val="clear" w:color="auto" w:fill="auto"/>
            <w:noWrap/>
            <w:vAlign w:val="bottom"/>
            <w:hideMark/>
          </w:tcPr>
          <w:p w14:paraId="055F4F6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3475437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38.291 </w:t>
            </w:r>
          </w:p>
        </w:tc>
        <w:tc>
          <w:tcPr>
            <w:tcW w:w="700" w:type="dxa"/>
            <w:tcBorders>
              <w:top w:val="nil"/>
              <w:left w:val="nil"/>
              <w:bottom w:val="nil"/>
              <w:right w:val="nil"/>
            </w:tcBorders>
            <w:shd w:val="clear" w:color="auto" w:fill="auto"/>
            <w:noWrap/>
            <w:vAlign w:val="bottom"/>
            <w:hideMark/>
          </w:tcPr>
          <w:p w14:paraId="11AAC092"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1,1%</w:t>
            </w:r>
          </w:p>
        </w:tc>
        <w:tc>
          <w:tcPr>
            <w:tcW w:w="880" w:type="dxa"/>
            <w:tcBorders>
              <w:top w:val="nil"/>
              <w:left w:val="nil"/>
              <w:bottom w:val="nil"/>
              <w:right w:val="nil"/>
            </w:tcBorders>
            <w:shd w:val="clear" w:color="auto" w:fill="auto"/>
            <w:vAlign w:val="bottom"/>
            <w:hideMark/>
          </w:tcPr>
          <w:p w14:paraId="5EAA505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529 </w:t>
            </w:r>
          </w:p>
        </w:tc>
        <w:tc>
          <w:tcPr>
            <w:tcW w:w="1000" w:type="dxa"/>
            <w:tcBorders>
              <w:top w:val="nil"/>
              <w:left w:val="nil"/>
              <w:bottom w:val="nil"/>
              <w:right w:val="nil"/>
            </w:tcBorders>
            <w:shd w:val="clear" w:color="auto" w:fill="auto"/>
            <w:vAlign w:val="bottom"/>
            <w:hideMark/>
          </w:tcPr>
          <w:p w14:paraId="46D824D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1.588 </w:t>
            </w:r>
          </w:p>
        </w:tc>
        <w:tc>
          <w:tcPr>
            <w:tcW w:w="1040" w:type="dxa"/>
            <w:tcBorders>
              <w:top w:val="nil"/>
              <w:left w:val="nil"/>
              <w:bottom w:val="nil"/>
              <w:right w:val="single" w:sz="4" w:space="0" w:color="auto"/>
            </w:tcBorders>
            <w:shd w:val="clear" w:color="auto" w:fill="auto"/>
            <w:vAlign w:val="bottom"/>
            <w:hideMark/>
          </w:tcPr>
          <w:p w14:paraId="6D0B32A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3.794 </w:t>
            </w:r>
          </w:p>
        </w:tc>
      </w:tr>
      <w:tr w:rsidR="003F1C37" w:rsidRPr="003F1C37" w14:paraId="3866CCAA"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0B54DC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Veenendaal</w:t>
            </w:r>
          </w:p>
        </w:tc>
        <w:tc>
          <w:tcPr>
            <w:tcW w:w="1500" w:type="dxa"/>
            <w:tcBorders>
              <w:top w:val="nil"/>
              <w:left w:val="nil"/>
              <w:bottom w:val="nil"/>
              <w:right w:val="single" w:sz="4" w:space="0" w:color="auto"/>
            </w:tcBorders>
            <w:shd w:val="clear" w:color="auto" w:fill="auto"/>
            <w:noWrap/>
            <w:vAlign w:val="bottom"/>
            <w:hideMark/>
          </w:tcPr>
          <w:p w14:paraId="3676807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7B2A807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49.006 </w:t>
            </w:r>
          </w:p>
        </w:tc>
        <w:tc>
          <w:tcPr>
            <w:tcW w:w="700" w:type="dxa"/>
            <w:tcBorders>
              <w:top w:val="nil"/>
              <w:left w:val="nil"/>
              <w:bottom w:val="nil"/>
              <w:right w:val="nil"/>
            </w:tcBorders>
            <w:shd w:val="clear" w:color="auto" w:fill="auto"/>
            <w:noWrap/>
            <w:vAlign w:val="bottom"/>
            <w:hideMark/>
          </w:tcPr>
          <w:p w14:paraId="2890048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1,4%</w:t>
            </w:r>
          </w:p>
        </w:tc>
        <w:tc>
          <w:tcPr>
            <w:tcW w:w="880" w:type="dxa"/>
            <w:tcBorders>
              <w:top w:val="nil"/>
              <w:left w:val="nil"/>
              <w:bottom w:val="nil"/>
              <w:right w:val="nil"/>
            </w:tcBorders>
            <w:shd w:val="clear" w:color="auto" w:fill="auto"/>
            <w:vAlign w:val="bottom"/>
            <w:hideMark/>
          </w:tcPr>
          <w:p w14:paraId="380B06C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677 </w:t>
            </w:r>
          </w:p>
        </w:tc>
        <w:tc>
          <w:tcPr>
            <w:tcW w:w="1000" w:type="dxa"/>
            <w:tcBorders>
              <w:top w:val="nil"/>
              <w:left w:val="nil"/>
              <w:bottom w:val="nil"/>
              <w:right w:val="nil"/>
            </w:tcBorders>
            <w:shd w:val="clear" w:color="auto" w:fill="auto"/>
            <w:vAlign w:val="bottom"/>
            <w:hideMark/>
          </w:tcPr>
          <w:p w14:paraId="1A0F3E8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2.033 </w:t>
            </w:r>
          </w:p>
        </w:tc>
        <w:tc>
          <w:tcPr>
            <w:tcW w:w="1040" w:type="dxa"/>
            <w:tcBorders>
              <w:top w:val="nil"/>
              <w:left w:val="nil"/>
              <w:bottom w:val="nil"/>
              <w:right w:val="single" w:sz="4" w:space="0" w:color="auto"/>
            </w:tcBorders>
            <w:shd w:val="clear" w:color="auto" w:fill="auto"/>
            <w:vAlign w:val="bottom"/>
            <w:hideMark/>
          </w:tcPr>
          <w:p w14:paraId="55DDC8A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4.856 </w:t>
            </w:r>
          </w:p>
        </w:tc>
      </w:tr>
      <w:tr w:rsidR="003F1C37" w:rsidRPr="003F1C37" w14:paraId="4E0F5111"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AC6591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Velsen</w:t>
            </w:r>
          </w:p>
        </w:tc>
        <w:tc>
          <w:tcPr>
            <w:tcW w:w="1500" w:type="dxa"/>
            <w:tcBorders>
              <w:top w:val="nil"/>
              <w:left w:val="nil"/>
              <w:bottom w:val="nil"/>
              <w:right w:val="single" w:sz="4" w:space="0" w:color="auto"/>
            </w:tcBorders>
            <w:shd w:val="clear" w:color="auto" w:fill="auto"/>
            <w:noWrap/>
            <w:vAlign w:val="bottom"/>
            <w:hideMark/>
          </w:tcPr>
          <w:p w14:paraId="0655B90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21A909C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53.608 </w:t>
            </w:r>
          </w:p>
        </w:tc>
        <w:tc>
          <w:tcPr>
            <w:tcW w:w="700" w:type="dxa"/>
            <w:tcBorders>
              <w:top w:val="nil"/>
              <w:left w:val="nil"/>
              <w:bottom w:val="nil"/>
              <w:right w:val="nil"/>
            </w:tcBorders>
            <w:shd w:val="clear" w:color="auto" w:fill="auto"/>
            <w:noWrap/>
            <w:vAlign w:val="bottom"/>
            <w:hideMark/>
          </w:tcPr>
          <w:p w14:paraId="6CE9F4C2"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1,5%</w:t>
            </w:r>
          </w:p>
        </w:tc>
        <w:tc>
          <w:tcPr>
            <w:tcW w:w="880" w:type="dxa"/>
            <w:tcBorders>
              <w:top w:val="nil"/>
              <w:left w:val="nil"/>
              <w:bottom w:val="nil"/>
              <w:right w:val="nil"/>
            </w:tcBorders>
            <w:shd w:val="clear" w:color="auto" w:fill="auto"/>
            <w:vAlign w:val="bottom"/>
            <w:hideMark/>
          </w:tcPr>
          <w:p w14:paraId="665F96E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741 </w:t>
            </w:r>
          </w:p>
        </w:tc>
        <w:tc>
          <w:tcPr>
            <w:tcW w:w="1000" w:type="dxa"/>
            <w:tcBorders>
              <w:top w:val="nil"/>
              <w:left w:val="nil"/>
              <w:bottom w:val="nil"/>
              <w:right w:val="nil"/>
            </w:tcBorders>
            <w:shd w:val="clear" w:color="auto" w:fill="auto"/>
            <w:vAlign w:val="bottom"/>
            <w:hideMark/>
          </w:tcPr>
          <w:p w14:paraId="7C2D39C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2.224 </w:t>
            </w:r>
          </w:p>
        </w:tc>
        <w:tc>
          <w:tcPr>
            <w:tcW w:w="1040" w:type="dxa"/>
            <w:tcBorders>
              <w:top w:val="nil"/>
              <w:left w:val="nil"/>
              <w:bottom w:val="nil"/>
              <w:right w:val="single" w:sz="4" w:space="0" w:color="auto"/>
            </w:tcBorders>
            <w:shd w:val="clear" w:color="auto" w:fill="auto"/>
            <w:vAlign w:val="bottom"/>
            <w:hideMark/>
          </w:tcPr>
          <w:p w14:paraId="6E0EEFB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5.312 </w:t>
            </w:r>
          </w:p>
        </w:tc>
      </w:tr>
      <w:tr w:rsidR="003F1C37" w:rsidRPr="003F1C37" w14:paraId="17746781"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CA5D05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Vijfheerenlanden</w:t>
            </w:r>
          </w:p>
        </w:tc>
        <w:tc>
          <w:tcPr>
            <w:tcW w:w="1500" w:type="dxa"/>
            <w:tcBorders>
              <w:top w:val="nil"/>
              <w:left w:val="nil"/>
              <w:bottom w:val="nil"/>
              <w:right w:val="single" w:sz="4" w:space="0" w:color="auto"/>
            </w:tcBorders>
            <w:shd w:val="clear" w:color="auto" w:fill="auto"/>
            <w:noWrap/>
            <w:vAlign w:val="bottom"/>
            <w:hideMark/>
          </w:tcPr>
          <w:p w14:paraId="403596C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62E64AF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42.492 </w:t>
            </w:r>
          </w:p>
        </w:tc>
        <w:tc>
          <w:tcPr>
            <w:tcW w:w="700" w:type="dxa"/>
            <w:tcBorders>
              <w:top w:val="nil"/>
              <w:left w:val="nil"/>
              <w:bottom w:val="nil"/>
              <w:right w:val="nil"/>
            </w:tcBorders>
            <w:shd w:val="clear" w:color="auto" w:fill="auto"/>
            <w:noWrap/>
            <w:vAlign w:val="bottom"/>
            <w:hideMark/>
          </w:tcPr>
          <w:p w14:paraId="37D63361"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1,2%</w:t>
            </w:r>
          </w:p>
        </w:tc>
        <w:tc>
          <w:tcPr>
            <w:tcW w:w="880" w:type="dxa"/>
            <w:tcBorders>
              <w:top w:val="nil"/>
              <w:left w:val="nil"/>
              <w:bottom w:val="nil"/>
              <w:right w:val="nil"/>
            </w:tcBorders>
            <w:shd w:val="clear" w:color="auto" w:fill="auto"/>
            <w:vAlign w:val="bottom"/>
            <w:hideMark/>
          </w:tcPr>
          <w:p w14:paraId="2F7DE7A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587 </w:t>
            </w:r>
          </w:p>
        </w:tc>
        <w:tc>
          <w:tcPr>
            <w:tcW w:w="1000" w:type="dxa"/>
            <w:tcBorders>
              <w:top w:val="nil"/>
              <w:left w:val="nil"/>
              <w:bottom w:val="nil"/>
              <w:right w:val="nil"/>
            </w:tcBorders>
            <w:shd w:val="clear" w:color="auto" w:fill="auto"/>
            <w:vAlign w:val="bottom"/>
            <w:hideMark/>
          </w:tcPr>
          <w:p w14:paraId="0C2DD71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1.763 </w:t>
            </w:r>
          </w:p>
        </w:tc>
        <w:tc>
          <w:tcPr>
            <w:tcW w:w="1040" w:type="dxa"/>
            <w:tcBorders>
              <w:top w:val="nil"/>
              <w:left w:val="nil"/>
              <w:bottom w:val="nil"/>
              <w:right w:val="single" w:sz="4" w:space="0" w:color="auto"/>
            </w:tcBorders>
            <w:shd w:val="clear" w:color="auto" w:fill="auto"/>
            <w:vAlign w:val="bottom"/>
            <w:hideMark/>
          </w:tcPr>
          <w:p w14:paraId="55A0DE1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4.210 </w:t>
            </w:r>
          </w:p>
        </w:tc>
      </w:tr>
      <w:tr w:rsidR="003F1C37" w:rsidRPr="003F1C37" w14:paraId="7B429174"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67B3893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Waterland</w:t>
            </w:r>
          </w:p>
        </w:tc>
        <w:tc>
          <w:tcPr>
            <w:tcW w:w="1500" w:type="dxa"/>
            <w:tcBorders>
              <w:top w:val="nil"/>
              <w:left w:val="nil"/>
              <w:bottom w:val="nil"/>
              <w:right w:val="single" w:sz="4" w:space="0" w:color="auto"/>
            </w:tcBorders>
            <w:shd w:val="clear" w:color="auto" w:fill="auto"/>
            <w:noWrap/>
            <w:vAlign w:val="bottom"/>
            <w:hideMark/>
          </w:tcPr>
          <w:p w14:paraId="6DA3FC8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471B1F4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13.526 </w:t>
            </w:r>
          </w:p>
        </w:tc>
        <w:tc>
          <w:tcPr>
            <w:tcW w:w="700" w:type="dxa"/>
            <w:tcBorders>
              <w:top w:val="nil"/>
              <w:left w:val="nil"/>
              <w:bottom w:val="nil"/>
              <w:right w:val="nil"/>
            </w:tcBorders>
            <w:shd w:val="clear" w:color="auto" w:fill="auto"/>
            <w:noWrap/>
            <w:vAlign w:val="bottom"/>
            <w:hideMark/>
          </w:tcPr>
          <w:p w14:paraId="768AEF94"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0,4%</w:t>
            </w:r>
          </w:p>
        </w:tc>
        <w:tc>
          <w:tcPr>
            <w:tcW w:w="880" w:type="dxa"/>
            <w:tcBorders>
              <w:top w:val="nil"/>
              <w:left w:val="nil"/>
              <w:bottom w:val="nil"/>
              <w:right w:val="nil"/>
            </w:tcBorders>
            <w:shd w:val="clear" w:color="auto" w:fill="auto"/>
            <w:vAlign w:val="bottom"/>
            <w:hideMark/>
          </w:tcPr>
          <w:p w14:paraId="4B16015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187 </w:t>
            </w:r>
          </w:p>
        </w:tc>
        <w:tc>
          <w:tcPr>
            <w:tcW w:w="1000" w:type="dxa"/>
            <w:tcBorders>
              <w:top w:val="nil"/>
              <w:left w:val="nil"/>
              <w:bottom w:val="nil"/>
              <w:right w:val="nil"/>
            </w:tcBorders>
            <w:shd w:val="clear" w:color="auto" w:fill="auto"/>
            <w:vAlign w:val="bottom"/>
            <w:hideMark/>
          </w:tcPr>
          <w:p w14:paraId="263E5B1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561 </w:t>
            </w:r>
          </w:p>
        </w:tc>
        <w:tc>
          <w:tcPr>
            <w:tcW w:w="1040" w:type="dxa"/>
            <w:tcBorders>
              <w:top w:val="nil"/>
              <w:left w:val="nil"/>
              <w:bottom w:val="nil"/>
              <w:right w:val="single" w:sz="4" w:space="0" w:color="auto"/>
            </w:tcBorders>
            <w:shd w:val="clear" w:color="auto" w:fill="auto"/>
            <w:vAlign w:val="bottom"/>
            <w:hideMark/>
          </w:tcPr>
          <w:p w14:paraId="413A790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1.340 </w:t>
            </w:r>
          </w:p>
        </w:tc>
      </w:tr>
      <w:tr w:rsidR="003F1C37" w:rsidRPr="003F1C37" w14:paraId="686FB5C7"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3D3160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Weesp</w:t>
            </w:r>
          </w:p>
        </w:tc>
        <w:tc>
          <w:tcPr>
            <w:tcW w:w="1500" w:type="dxa"/>
            <w:tcBorders>
              <w:top w:val="nil"/>
              <w:left w:val="nil"/>
              <w:bottom w:val="nil"/>
              <w:right w:val="single" w:sz="4" w:space="0" w:color="auto"/>
            </w:tcBorders>
            <w:shd w:val="clear" w:color="auto" w:fill="auto"/>
            <w:noWrap/>
            <w:vAlign w:val="bottom"/>
            <w:hideMark/>
          </w:tcPr>
          <w:p w14:paraId="1400492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6A02613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15.135 </w:t>
            </w:r>
          </w:p>
        </w:tc>
        <w:tc>
          <w:tcPr>
            <w:tcW w:w="700" w:type="dxa"/>
            <w:tcBorders>
              <w:top w:val="nil"/>
              <w:left w:val="nil"/>
              <w:bottom w:val="nil"/>
              <w:right w:val="nil"/>
            </w:tcBorders>
            <w:shd w:val="clear" w:color="auto" w:fill="auto"/>
            <w:noWrap/>
            <w:vAlign w:val="bottom"/>
            <w:hideMark/>
          </w:tcPr>
          <w:p w14:paraId="78592A5D"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0,4%</w:t>
            </w:r>
          </w:p>
        </w:tc>
        <w:tc>
          <w:tcPr>
            <w:tcW w:w="880" w:type="dxa"/>
            <w:tcBorders>
              <w:top w:val="nil"/>
              <w:left w:val="nil"/>
              <w:bottom w:val="nil"/>
              <w:right w:val="nil"/>
            </w:tcBorders>
            <w:shd w:val="clear" w:color="auto" w:fill="auto"/>
            <w:vAlign w:val="bottom"/>
            <w:hideMark/>
          </w:tcPr>
          <w:p w14:paraId="0FBB1D6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209 </w:t>
            </w:r>
          </w:p>
        </w:tc>
        <w:tc>
          <w:tcPr>
            <w:tcW w:w="1000" w:type="dxa"/>
            <w:tcBorders>
              <w:top w:val="nil"/>
              <w:left w:val="nil"/>
              <w:bottom w:val="nil"/>
              <w:right w:val="nil"/>
            </w:tcBorders>
            <w:shd w:val="clear" w:color="auto" w:fill="auto"/>
            <w:vAlign w:val="bottom"/>
            <w:hideMark/>
          </w:tcPr>
          <w:p w14:paraId="18630C2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628 </w:t>
            </w:r>
          </w:p>
        </w:tc>
        <w:tc>
          <w:tcPr>
            <w:tcW w:w="1040" w:type="dxa"/>
            <w:tcBorders>
              <w:top w:val="nil"/>
              <w:left w:val="nil"/>
              <w:bottom w:val="nil"/>
              <w:right w:val="single" w:sz="4" w:space="0" w:color="auto"/>
            </w:tcBorders>
            <w:shd w:val="clear" w:color="auto" w:fill="auto"/>
            <w:vAlign w:val="bottom"/>
            <w:hideMark/>
          </w:tcPr>
          <w:p w14:paraId="2AD5D59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1.500 </w:t>
            </w:r>
          </w:p>
        </w:tc>
      </w:tr>
      <w:tr w:rsidR="003F1C37" w:rsidRPr="003F1C37" w14:paraId="4505E9D1"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209D8EC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Wijdemeren</w:t>
            </w:r>
          </w:p>
        </w:tc>
        <w:tc>
          <w:tcPr>
            <w:tcW w:w="1500" w:type="dxa"/>
            <w:tcBorders>
              <w:top w:val="nil"/>
              <w:left w:val="nil"/>
              <w:bottom w:val="nil"/>
              <w:right w:val="single" w:sz="4" w:space="0" w:color="auto"/>
            </w:tcBorders>
            <w:shd w:val="clear" w:color="auto" w:fill="auto"/>
            <w:noWrap/>
            <w:vAlign w:val="bottom"/>
            <w:hideMark/>
          </w:tcPr>
          <w:p w14:paraId="577B28F4"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2ADF0F7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18.819 </w:t>
            </w:r>
          </w:p>
        </w:tc>
        <w:tc>
          <w:tcPr>
            <w:tcW w:w="700" w:type="dxa"/>
            <w:tcBorders>
              <w:top w:val="nil"/>
              <w:left w:val="nil"/>
              <w:bottom w:val="nil"/>
              <w:right w:val="nil"/>
            </w:tcBorders>
            <w:shd w:val="clear" w:color="auto" w:fill="auto"/>
            <w:noWrap/>
            <w:vAlign w:val="bottom"/>
            <w:hideMark/>
          </w:tcPr>
          <w:p w14:paraId="4A61984E"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0,5%</w:t>
            </w:r>
          </w:p>
        </w:tc>
        <w:tc>
          <w:tcPr>
            <w:tcW w:w="880" w:type="dxa"/>
            <w:tcBorders>
              <w:top w:val="nil"/>
              <w:left w:val="nil"/>
              <w:bottom w:val="nil"/>
              <w:right w:val="nil"/>
            </w:tcBorders>
            <w:shd w:val="clear" w:color="auto" w:fill="auto"/>
            <w:vAlign w:val="bottom"/>
            <w:hideMark/>
          </w:tcPr>
          <w:p w14:paraId="1D1CD22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260 </w:t>
            </w:r>
          </w:p>
        </w:tc>
        <w:tc>
          <w:tcPr>
            <w:tcW w:w="1000" w:type="dxa"/>
            <w:tcBorders>
              <w:top w:val="nil"/>
              <w:left w:val="nil"/>
              <w:bottom w:val="nil"/>
              <w:right w:val="nil"/>
            </w:tcBorders>
            <w:shd w:val="clear" w:color="auto" w:fill="auto"/>
            <w:vAlign w:val="bottom"/>
            <w:hideMark/>
          </w:tcPr>
          <w:p w14:paraId="75B64E7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781 </w:t>
            </w:r>
          </w:p>
        </w:tc>
        <w:tc>
          <w:tcPr>
            <w:tcW w:w="1040" w:type="dxa"/>
            <w:tcBorders>
              <w:top w:val="nil"/>
              <w:left w:val="nil"/>
              <w:bottom w:val="nil"/>
              <w:right w:val="single" w:sz="4" w:space="0" w:color="auto"/>
            </w:tcBorders>
            <w:shd w:val="clear" w:color="auto" w:fill="auto"/>
            <w:vAlign w:val="bottom"/>
            <w:hideMark/>
          </w:tcPr>
          <w:p w14:paraId="6DED55E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1.865 </w:t>
            </w:r>
          </w:p>
        </w:tc>
      </w:tr>
      <w:tr w:rsidR="003F1C37" w:rsidRPr="003F1C37" w14:paraId="348A5D6A"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EE7E1D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Wijk bij Duurstede</w:t>
            </w:r>
          </w:p>
        </w:tc>
        <w:tc>
          <w:tcPr>
            <w:tcW w:w="1500" w:type="dxa"/>
            <w:tcBorders>
              <w:top w:val="nil"/>
              <w:left w:val="nil"/>
              <w:bottom w:val="nil"/>
              <w:right w:val="single" w:sz="4" w:space="0" w:color="auto"/>
            </w:tcBorders>
            <w:shd w:val="clear" w:color="auto" w:fill="auto"/>
            <w:noWrap/>
            <w:vAlign w:val="bottom"/>
            <w:hideMark/>
          </w:tcPr>
          <w:p w14:paraId="70D0236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7BEA79D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18.289 </w:t>
            </w:r>
          </w:p>
        </w:tc>
        <w:tc>
          <w:tcPr>
            <w:tcW w:w="700" w:type="dxa"/>
            <w:tcBorders>
              <w:top w:val="nil"/>
              <w:left w:val="nil"/>
              <w:bottom w:val="nil"/>
              <w:right w:val="nil"/>
            </w:tcBorders>
            <w:shd w:val="clear" w:color="auto" w:fill="auto"/>
            <w:noWrap/>
            <w:vAlign w:val="bottom"/>
            <w:hideMark/>
          </w:tcPr>
          <w:p w14:paraId="6D50DDB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0,5%</w:t>
            </w:r>
          </w:p>
        </w:tc>
        <w:tc>
          <w:tcPr>
            <w:tcW w:w="880" w:type="dxa"/>
            <w:tcBorders>
              <w:top w:val="nil"/>
              <w:left w:val="nil"/>
              <w:bottom w:val="nil"/>
              <w:right w:val="nil"/>
            </w:tcBorders>
            <w:shd w:val="clear" w:color="auto" w:fill="auto"/>
            <w:vAlign w:val="bottom"/>
            <w:hideMark/>
          </w:tcPr>
          <w:p w14:paraId="52574AC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253 </w:t>
            </w:r>
          </w:p>
        </w:tc>
        <w:tc>
          <w:tcPr>
            <w:tcW w:w="1000" w:type="dxa"/>
            <w:tcBorders>
              <w:top w:val="nil"/>
              <w:left w:val="nil"/>
              <w:bottom w:val="nil"/>
              <w:right w:val="nil"/>
            </w:tcBorders>
            <w:shd w:val="clear" w:color="auto" w:fill="auto"/>
            <w:vAlign w:val="bottom"/>
            <w:hideMark/>
          </w:tcPr>
          <w:p w14:paraId="79DD0AF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759 </w:t>
            </w:r>
          </w:p>
        </w:tc>
        <w:tc>
          <w:tcPr>
            <w:tcW w:w="1040" w:type="dxa"/>
            <w:tcBorders>
              <w:top w:val="nil"/>
              <w:left w:val="nil"/>
              <w:bottom w:val="nil"/>
              <w:right w:val="single" w:sz="4" w:space="0" w:color="auto"/>
            </w:tcBorders>
            <w:shd w:val="clear" w:color="auto" w:fill="auto"/>
            <w:vAlign w:val="bottom"/>
            <w:hideMark/>
          </w:tcPr>
          <w:p w14:paraId="2FFA689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1.812 </w:t>
            </w:r>
          </w:p>
        </w:tc>
      </w:tr>
      <w:tr w:rsidR="003F1C37" w:rsidRPr="003F1C37" w14:paraId="75E14743"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3B2E841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Woerden</w:t>
            </w:r>
          </w:p>
        </w:tc>
        <w:tc>
          <w:tcPr>
            <w:tcW w:w="1500" w:type="dxa"/>
            <w:tcBorders>
              <w:top w:val="nil"/>
              <w:left w:val="nil"/>
              <w:bottom w:val="nil"/>
              <w:right w:val="single" w:sz="4" w:space="0" w:color="auto"/>
            </w:tcBorders>
            <w:shd w:val="clear" w:color="auto" w:fill="auto"/>
            <w:noWrap/>
            <w:vAlign w:val="bottom"/>
            <w:hideMark/>
          </w:tcPr>
          <w:p w14:paraId="028D9B3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0D87EC9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39.247 </w:t>
            </w:r>
          </w:p>
        </w:tc>
        <w:tc>
          <w:tcPr>
            <w:tcW w:w="700" w:type="dxa"/>
            <w:tcBorders>
              <w:top w:val="nil"/>
              <w:left w:val="nil"/>
              <w:bottom w:val="nil"/>
              <w:right w:val="nil"/>
            </w:tcBorders>
            <w:shd w:val="clear" w:color="auto" w:fill="auto"/>
            <w:noWrap/>
            <w:vAlign w:val="bottom"/>
            <w:hideMark/>
          </w:tcPr>
          <w:p w14:paraId="328D0AE5"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1,1%</w:t>
            </w:r>
          </w:p>
        </w:tc>
        <w:tc>
          <w:tcPr>
            <w:tcW w:w="880" w:type="dxa"/>
            <w:tcBorders>
              <w:top w:val="nil"/>
              <w:left w:val="nil"/>
              <w:bottom w:val="nil"/>
              <w:right w:val="nil"/>
            </w:tcBorders>
            <w:shd w:val="clear" w:color="auto" w:fill="auto"/>
            <w:vAlign w:val="bottom"/>
            <w:hideMark/>
          </w:tcPr>
          <w:p w14:paraId="67E7C51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542 </w:t>
            </w:r>
          </w:p>
        </w:tc>
        <w:tc>
          <w:tcPr>
            <w:tcW w:w="1000" w:type="dxa"/>
            <w:tcBorders>
              <w:top w:val="nil"/>
              <w:left w:val="nil"/>
              <w:bottom w:val="nil"/>
              <w:right w:val="nil"/>
            </w:tcBorders>
            <w:shd w:val="clear" w:color="auto" w:fill="auto"/>
            <w:vAlign w:val="bottom"/>
            <w:hideMark/>
          </w:tcPr>
          <w:p w14:paraId="4180CB49"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1.628 </w:t>
            </w:r>
          </w:p>
        </w:tc>
        <w:tc>
          <w:tcPr>
            <w:tcW w:w="1040" w:type="dxa"/>
            <w:tcBorders>
              <w:top w:val="nil"/>
              <w:left w:val="nil"/>
              <w:bottom w:val="nil"/>
              <w:right w:val="single" w:sz="4" w:space="0" w:color="auto"/>
            </w:tcBorders>
            <w:shd w:val="clear" w:color="auto" w:fill="auto"/>
            <w:vAlign w:val="bottom"/>
            <w:hideMark/>
          </w:tcPr>
          <w:p w14:paraId="050397C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3.889 </w:t>
            </w:r>
          </w:p>
        </w:tc>
      </w:tr>
      <w:tr w:rsidR="003F1C37" w:rsidRPr="003F1C37" w14:paraId="02492209"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E77BD1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Wormerland</w:t>
            </w:r>
          </w:p>
        </w:tc>
        <w:tc>
          <w:tcPr>
            <w:tcW w:w="1500" w:type="dxa"/>
            <w:tcBorders>
              <w:top w:val="nil"/>
              <w:left w:val="nil"/>
              <w:bottom w:val="nil"/>
              <w:right w:val="single" w:sz="4" w:space="0" w:color="auto"/>
            </w:tcBorders>
            <w:shd w:val="clear" w:color="auto" w:fill="auto"/>
            <w:noWrap/>
            <w:vAlign w:val="bottom"/>
            <w:hideMark/>
          </w:tcPr>
          <w:p w14:paraId="329EF16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169FDD8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12.873 </w:t>
            </w:r>
          </w:p>
        </w:tc>
        <w:tc>
          <w:tcPr>
            <w:tcW w:w="700" w:type="dxa"/>
            <w:tcBorders>
              <w:top w:val="nil"/>
              <w:left w:val="nil"/>
              <w:bottom w:val="nil"/>
              <w:right w:val="nil"/>
            </w:tcBorders>
            <w:shd w:val="clear" w:color="auto" w:fill="auto"/>
            <w:noWrap/>
            <w:vAlign w:val="bottom"/>
            <w:hideMark/>
          </w:tcPr>
          <w:p w14:paraId="0E02471B"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0,4%</w:t>
            </w:r>
          </w:p>
        </w:tc>
        <w:tc>
          <w:tcPr>
            <w:tcW w:w="880" w:type="dxa"/>
            <w:tcBorders>
              <w:top w:val="nil"/>
              <w:left w:val="nil"/>
              <w:bottom w:val="nil"/>
              <w:right w:val="nil"/>
            </w:tcBorders>
            <w:shd w:val="clear" w:color="auto" w:fill="auto"/>
            <w:vAlign w:val="bottom"/>
            <w:hideMark/>
          </w:tcPr>
          <w:p w14:paraId="086EA018"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178 </w:t>
            </w:r>
          </w:p>
        </w:tc>
        <w:tc>
          <w:tcPr>
            <w:tcW w:w="1000" w:type="dxa"/>
            <w:tcBorders>
              <w:top w:val="nil"/>
              <w:left w:val="nil"/>
              <w:bottom w:val="nil"/>
              <w:right w:val="nil"/>
            </w:tcBorders>
            <w:shd w:val="clear" w:color="auto" w:fill="auto"/>
            <w:vAlign w:val="bottom"/>
            <w:hideMark/>
          </w:tcPr>
          <w:p w14:paraId="17005E8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534 </w:t>
            </w:r>
          </w:p>
        </w:tc>
        <w:tc>
          <w:tcPr>
            <w:tcW w:w="1040" w:type="dxa"/>
            <w:tcBorders>
              <w:top w:val="nil"/>
              <w:left w:val="nil"/>
              <w:bottom w:val="nil"/>
              <w:right w:val="single" w:sz="4" w:space="0" w:color="auto"/>
            </w:tcBorders>
            <w:shd w:val="clear" w:color="auto" w:fill="auto"/>
            <w:vAlign w:val="bottom"/>
            <w:hideMark/>
          </w:tcPr>
          <w:p w14:paraId="0438636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1.276 </w:t>
            </w:r>
          </w:p>
        </w:tc>
      </w:tr>
      <w:tr w:rsidR="003F1C37" w:rsidRPr="003F1C37" w14:paraId="22541682"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AAB63A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Woudenberg</w:t>
            </w:r>
          </w:p>
        </w:tc>
        <w:tc>
          <w:tcPr>
            <w:tcW w:w="1500" w:type="dxa"/>
            <w:tcBorders>
              <w:top w:val="nil"/>
              <w:left w:val="nil"/>
              <w:bottom w:val="nil"/>
              <w:right w:val="single" w:sz="4" w:space="0" w:color="auto"/>
            </w:tcBorders>
            <w:shd w:val="clear" w:color="auto" w:fill="auto"/>
            <w:noWrap/>
            <w:vAlign w:val="bottom"/>
            <w:hideMark/>
          </w:tcPr>
          <w:p w14:paraId="2C1BA45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nil"/>
              <w:right w:val="single" w:sz="4" w:space="0" w:color="auto"/>
            </w:tcBorders>
            <w:shd w:val="clear" w:color="auto" w:fill="auto"/>
            <w:noWrap/>
            <w:vAlign w:val="bottom"/>
            <w:hideMark/>
          </w:tcPr>
          <w:p w14:paraId="3B7D5D5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9.632 </w:t>
            </w:r>
          </w:p>
        </w:tc>
        <w:tc>
          <w:tcPr>
            <w:tcW w:w="700" w:type="dxa"/>
            <w:tcBorders>
              <w:top w:val="nil"/>
              <w:left w:val="nil"/>
              <w:bottom w:val="nil"/>
              <w:right w:val="nil"/>
            </w:tcBorders>
            <w:shd w:val="clear" w:color="auto" w:fill="auto"/>
            <w:noWrap/>
            <w:vAlign w:val="bottom"/>
            <w:hideMark/>
          </w:tcPr>
          <w:p w14:paraId="53721550"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0,3%</w:t>
            </w:r>
          </w:p>
        </w:tc>
        <w:tc>
          <w:tcPr>
            <w:tcW w:w="880" w:type="dxa"/>
            <w:tcBorders>
              <w:top w:val="nil"/>
              <w:left w:val="nil"/>
              <w:bottom w:val="nil"/>
              <w:right w:val="nil"/>
            </w:tcBorders>
            <w:shd w:val="clear" w:color="auto" w:fill="auto"/>
            <w:vAlign w:val="bottom"/>
            <w:hideMark/>
          </w:tcPr>
          <w:p w14:paraId="5AA887E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133 </w:t>
            </w:r>
          </w:p>
        </w:tc>
        <w:tc>
          <w:tcPr>
            <w:tcW w:w="1000" w:type="dxa"/>
            <w:tcBorders>
              <w:top w:val="nil"/>
              <w:left w:val="nil"/>
              <w:bottom w:val="nil"/>
              <w:right w:val="nil"/>
            </w:tcBorders>
            <w:shd w:val="clear" w:color="auto" w:fill="auto"/>
            <w:vAlign w:val="bottom"/>
            <w:hideMark/>
          </w:tcPr>
          <w:p w14:paraId="0E73CEE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400 </w:t>
            </w:r>
          </w:p>
        </w:tc>
        <w:tc>
          <w:tcPr>
            <w:tcW w:w="1040" w:type="dxa"/>
            <w:tcBorders>
              <w:top w:val="nil"/>
              <w:left w:val="nil"/>
              <w:bottom w:val="nil"/>
              <w:right w:val="single" w:sz="4" w:space="0" w:color="auto"/>
            </w:tcBorders>
            <w:shd w:val="clear" w:color="auto" w:fill="auto"/>
            <w:vAlign w:val="bottom"/>
            <w:hideMark/>
          </w:tcPr>
          <w:p w14:paraId="0BD5C0D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954 </w:t>
            </w:r>
          </w:p>
        </w:tc>
      </w:tr>
      <w:tr w:rsidR="003F1C37" w:rsidRPr="003F1C37" w14:paraId="0B57C087"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0EF02C4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Zaanstad</w:t>
            </w:r>
          </w:p>
        </w:tc>
        <w:tc>
          <w:tcPr>
            <w:tcW w:w="1500" w:type="dxa"/>
            <w:tcBorders>
              <w:top w:val="nil"/>
              <w:left w:val="nil"/>
              <w:bottom w:val="nil"/>
              <w:right w:val="single" w:sz="4" w:space="0" w:color="auto"/>
            </w:tcBorders>
            <w:shd w:val="clear" w:color="auto" w:fill="auto"/>
            <w:noWrap/>
            <w:vAlign w:val="bottom"/>
            <w:hideMark/>
          </w:tcPr>
          <w:p w14:paraId="2EDE87D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2A0E0ED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120.770 </w:t>
            </w:r>
          </w:p>
        </w:tc>
        <w:tc>
          <w:tcPr>
            <w:tcW w:w="700" w:type="dxa"/>
            <w:tcBorders>
              <w:top w:val="nil"/>
              <w:left w:val="nil"/>
              <w:bottom w:val="nil"/>
              <w:right w:val="nil"/>
            </w:tcBorders>
            <w:shd w:val="clear" w:color="auto" w:fill="auto"/>
            <w:noWrap/>
            <w:vAlign w:val="bottom"/>
            <w:hideMark/>
          </w:tcPr>
          <w:p w14:paraId="785CD9E5"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3,4%</w:t>
            </w:r>
          </w:p>
        </w:tc>
        <w:tc>
          <w:tcPr>
            <w:tcW w:w="880" w:type="dxa"/>
            <w:tcBorders>
              <w:top w:val="nil"/>
              <w:left w:val="nil"/>
              <w:bottom w:val="nil"/>
              <w:right w:val="nil"/>
            </w:tcBorders>
            <w:shd w:val="clear" w:color="auto" w:fill="auto"/>
            <w:vAlign w:val="bottom"/>
            <w:hideMark/>
          </w:tcPr>
          <w:p w14:paraId="1D202D7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1.669 </w:t>
            </w:r>
          </w:p>
        </w:tc>
        <w:tc>
          <w:tcPr>
            <w:tcW w:w="1000" w:type="dxa"/>
            <w:tcBorders>
              <w:top w:val="nil"/>
              <w:left w:val="nil"/>
              <w:bottom w:val="nil"/>
              <w:right w:val="nil"/>
            </w:tcBorders>
            <w:shd w:val="clear" w:color="auto" w:fill="auto"/>
            <w:vAlign w:val="bottom"/>
            <w:hideMark/>
          </w:tcPr>
          <w:p w14:paraId="767BF64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5.010 </w:t>
            </w:r>
          </w:p>
        </w:tc>
        <w:tc>
          <w:tcPr>
            <w:tcW w:w="1040" w:type="dxa"/>
            <w:tcBorders>
              <w:top w:val="nil"/>
              <w:left w:val="nil"/>
              <w:bottom w:val="nil"/>
              <w:right w:val="single" w:sz="4" w:space="0" w:color="auto"/>
            </w:tcBorders>
            <w:shd w:val="clear" w:color="auto" w:fill="auto"/>
            <w:vAlign w:val="bottom"/>
            <w:hideMark/>
          </w:tcPr>
          <w:p w14:paraId="0CA404C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11.967 </w:t>
            </w:r>
          </w:p>
        </w:tc>
      </w:tr>
      <w:tr w:rsidR="003F1C37" w:rsidRPr="003F1C37" w14:paraId="465C43C7"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4081AF0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Zandvoort</w:t>
            </w:r>
          </w:p>
        </w:tc>
        <w:tc>
          <w:tcPr>
            <w:tcW w:w="1500" w:type="dxa"/>
            <w:tcBorders>
              <w:top w:val="nil"/>
              <w:left w:val="nil"/>
              <w:bottom w:val="nil"/>
              <w:right w:val="single" w:sz="4" w:space="0" w:color="auto"/>
            </w:tcBorders>
            <w:shd w:val="clear" w:color="auto" w:fill="auto"/>
            <w:noWrap/>
            <w:vAlign w:val="bottom"/>
            <w:hideMark/>
          </w:tcPr>
          <w:p w14:paraId="4A25151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Noord-Holland</w:t>
            </w:r>
          </w:p>
        </w:tc>
        <w:tc>
          <w:tcPr>
            <w:tcW w:w="1180" w:type="dxa"/>
            <w:tcBorders>
              <w:top w:val="nil"/>
              <w:left w:val="nil"/>
              <w:bottom w:val="nil"/>
              <w:right w:val="single" w:sz="4" w:space="0" w:color="auto"/>
            </w:tcBorders>
            <w:shd w:val="clear" w:color="auto" w:fill="auto"/>
            <w:noWrap/>
            <w:vAlign w:val="bottom"/>
            <w:hideMark/>
          </w:tcPr>
          <w:p w14:paraId="0BA6A98A"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13.901 </w:t>
            </w:r>
          </w:p>
        </w:tc>
        <w:tc>
          <w:tcPr>
            <w:tcW w:w="700" w:type="dxa"/>
            <w:tcBorders>
              <w:top w:val="nil"/>
              <w:left w:val="nil"/>
              <w:bottom w:val="nil"/>
              <w:right w:val="nil"/>
            </w:tcBorders>
            <w:shd w:val="clear" w:color="auto" w:fill="auto"/>
            <w:noWrap/>
            <w:vAlign w:val="bottom"/>
            <w:hideMark/>
          </w:tcPr>
          <w:p w14:paraId="13C2BD9F"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0,4%</w:t>
            </w:r>
          </w:p>
        </w:tc>
        <w:tc>
          <w:tcPr>
            <w:tcW w:w="880" w:type="dxa"/>
            <w:tcBorders>
              <w:top w:val="nil"/>
              <w:left w:val="nil"/>
              <w:bottom w:val="nil"/>
              <w:right w:val="nil"/>
            </w:tcBorders>
            <w:shd w:val="clear" w:color="auto" w:fill="auto"/>
            <w:vAlign w:val="bottom"/>
            <w:hideMark/>
          </w:tcPr>
          <w:p w14:paraId="30F12FD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192 </w:t>
            </w:r>
          </w:p>
        </w:tc>
        <w:tc>
          <w:tcPr>
            <w:tcW w:w="1000" w:type="dxa"/>
            <w:tcBorders>
              <w:top w:val="nil"/>
              <w:left w:val="nil"/>
              <w:bottom w:val="nil"/>
              <w:right w:val="nil"/>
            </w:tcBorders>
            <w:shd w:val="clear" w:color="auto" w:fill="auto"/>
            <w:vAlign w:val="bottom"/>
            <w:hideMark/>
          </w:tcPr>
          <w:p w14:paraId="2FC6067B"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577 </w:t>
            </w:r>
          </w:p>
        </w:tc>
        <w:tc>
          <w:tcPr>
            <w:tcW w:w="1040" w:type="dxa"/>
            <w:tcBorders>
              <w:top w:val="nil"/>
              <w:left w:val="nil"/>
              <w:bottom w:val="nil"/>
              <w:right w:val="single" w:sz="4" w:space="0" w:color="auto"/>
            </w:tcBorders>
            <w:shd w:val="clear" w:color="auto" w:fill="auto"/>
            <w:vAlign w:val="bottom"/>
            <w:hideMark/>
          </w:tcPr>
          <w:p w14:paraId="5AF36450"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1.377 </w:t>
            </w:r>
          </w:p>
        </w:tc>
      </w:tr>
      <w:tr w:rsidR="003F1C37" w:rsidRPr="003F1C37" w14:paraId="6DFDAC94" w14:textId="77777777" w:rsidTr="003F1C37">
        <w:trPr>
          <w:trHeight w:val="300"/>
        </w:trPr>
        <w:tc>
          <w:tcPr>
            <w:tcW w:w="2120" w:type="dxa"/>
            <w:tcBorders>
              <w:top w:val="nil"/>
              <w:left w:val="single" w:sz="4" w:space="0" w:color="auto"/>
              <w:bottom w:val="nil"/>
              <w:right w:val="nil"/>
            </w:tcBorders>
            <w:shd w:val="clear" w:color="auto" w:fill="auto"/>
            <w:noWrap/>
            <w:vAlign w:val="bottom"/>
            <w:hideMark/>
          </w:tcPr>
          <w:p w14:paraId="5CA106A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Zeewolde</w:t>
            </w:r>
          </w:p>
        </w:tc>
        <w:tc>
          <w:tcPr>
            <w:tcW w:w="1500" w:type="dxa"/>
            <w:tcBorders>
              <w:top w:val="nil"/>
              <w:left w:val="nil"/>
              <w:bottom w:val="nil"/>
              <w:right w:val="single" w:sz="4" w:space="0" w:color="auto"/>
            </w:tcBorders>
            <w:shd w:val="clear" w:color="auto" w:fill="auto"/>
            <w:noWrap/>
            <w:vAlign w:val="bottom"/>
            <w:hideMark/>
          </w:tcPr>
          <w:p w14:paraId="28891AF2"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Flevoland</w:t>
            </w:r>
          </w:p>
        </w:tc>
        <w:tc>
          <w:tcPr>
            <w:tcW w:w="1180" w:type="dxa"/>
            <w:tcBorders>
              <w:top w:val="nil"/>
              <w:left w:val="nil"/>
              <w:bottom w:val="nil"/>
              <w:right w:val="single" w:sz="4" w:space="0" w:color="auto"/>
            </w:tcBorders>
            <w:shd w:val="clear" w:color="auto" w:fill="auto"/>
            <w:noWrap/>
            <w:vAlign w:val="bottom"/>
            <w:hideMark/>
          </w:tcPr>
          <w:p w14:paraId="2EDB8D6F"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16.675 </w:t>
            </w:r>
          </w:p>
        </w:tc>
        <w:tc>
          <w:tcPr>
            <w:tcW w:w="700" w:type="dxa"/>
            <w:tcBorders>
              <w:top w:val="nil"/>
              <w:left w:val="nil"/>
              <w:bottom w:val="nil"/>
              <w:right w:val="nil"/>
            </w:tcBorders>
            <w:shd w:val="clear" w:color="auto" w:fill="auto"/>
            <w:noWrap/>
            <w:vAlign w:val="bottom"/>
            <w:hideMark/>
          </w:tcPr>
          <w:p w14:paraId="37CD94CC"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0,5%</w:t>
            </w:r>
          </w:p>
        </w:tc>
        <w:tc>
          <w:tcPr>
            <w:tcW w:w="880" w:type="dxa"/>
            <w:tcBorders>
              <w:top w:val="nil"/>
              <w:left w:val="nil"/>
              <w:bottom w:val="nil"/>
              <w:right w:val="nil"/>
            </w:tcBorders>
            <w:shd w:val="clear" w:color="auto" w:fill="auto"/>
            <w:vAlign w:val="bottom"/>
            <w:hideMark/>
          </w:tcPr>
          <w:p w14:paraId="64D215CC"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230 </w:t>
            </w:r>
          </w:p>
        </w:tc>
        <w:tc>
          <w:tcPr>
            <w:tcW w:w="1000" w:type="dxa"/>
            <w:tcBorders>
              <w:top w:val="nil"/>
              <w:left w:val="nil"/>
              <w:bottom w:val="nil"/>
              <w:right w:val="nil"/>
            </w:tcBorders>
            <w:shd w:val="clear" w:color="auto" w:fill="auto"/>
            <w:vAlign w:val="bottom"/>
            <w:hideMark/>
          </w:tcPr>
          <w:p w14:paraId="6A9B1C15"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692 </w:t>
            </w:r>
          </w:p>
        </w:tc>
        <w:tc>
          <w:tcPr>
            <w:tcW w:w="1040" w:type="dxa"/>
            <w:tcBorders>
              <w:top w:val="nil"/>
              <w:left w:val="nil"/>
              <w:bottom w:val="nil"/>
              <w:right w:val="single" w:sz="4" w:space="0" w:color="auto"/>
            </w:tcBorders>
            <w:shd w:val="clear" w:color="auto" w:fill="auto"/>
            <w:vAlign w:val="bottom"/>
            <w:hideMark/>
          </w:tcPr>
          <w:p w14:paraId="5B913DD3"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1.652 </w:t>
            </w:r>
          </w:p>
        </w:tc>
      </w:tr>
      <w:tr w:rsidR="003F1C37" w:rsidRPr="003F1C37" w14:paraId="0D7BFF0F" w14:textId="77777777" w:rsidTr="003F1C37">
        <w:trPr>
          <w:trHeight w:val="300"/>
        </w:trPr>
        <w:tc>
          <w:tcPr>
            <w:tcW w:w="2120" w:type="dxa"/>
            <w:tcBorders>
              <w:top w:val="nil"/>
              <w:left w:val="single" w:sz="4" w:space="0" w:color="auto"/>
              <w:bottom w:val="single" w:sz="4" w:space="0" w:color="auto"/>
              <w:right w:val="nil"/>
            </w:tcBorders>
            <w:shd w:val="clear" w:color="auto" w:fill="auto"/>
            <w:noWrap/>
            <w:vAlign w:val="bottom"/>
            <w:hideMark/>
          </w:tcPr>
          <w:p w14:paraId="37D29D4E"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Zeist</w:t>
            </w:r>
          </w:p>
        </w:tc>
        <w:tc>
          <w:tcPr>
            <w:tcW w:w="1500" w:type="dxa"/>
            <w:tcBorders>
              <w:top w:val="nil"/>
              <w:left w:val="nil"/>
              <w:bottom w:val="single" w:sz="4" w:space="0" w:color="auto"/>
              <w:right w:val="single" w:sz="4" w:space="0" w:color="auto"/>
            </w:tcBorders>
            <w:shd w:val="clear" w:color="auto" w:fill="auto"/>
            <w:noWrap/>
            <w:vAlign w:val="bottom"/>
            <w:hideMark/>
          </w:tcPr>
          <w:p w14:paraId="25E996C6"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Utrecht</w:t>
            </w:r>
          </w:p>
        </w:tc>
        <w:tc>
          <w:tcPr>
            <w:tcW w:w="1180" w:type="dxa"/>
            <w:tcBorders>
              <w:top w:val="nil"/>
              <w:left w:val="nil"/>
              <w:bottom w:val="single" w:sz="4" w:space="0" w:color="auto"/>
              <w:right w:val="single" w:sz="4" w:space="0" w:color="auto"/>
            </w:tcBorders>
            <w:shd w:val="clear" w:color="auto" w:fill="auto"/>
            <w:noWrap/>
            <w:vAlign w:val="bottom"/>
            <w:hideMark/>
          </w:tcPr>
          <w:p w14:paraId="0D49F0D1"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48.624 </w:t>
            </w:r>
          </w:p>
        </w:tc>
        <w:tc>
          <w:tcPr>
            <w:tcW w:w="700" w:type="dxa"/>
            <w:tcBorders>
              <w:top w:val="nil"/>
              <w:left w:val="nil"/>
              <w:bottom w:val="single" w:sz="4" w:space="0" w:color="auto"/>
              <w:right w:val="single" w:sz="4" w:space="0" w:color="auto"/>
            </w:tcBorders>
            <w:shd w:val="clear" w:color="auto" w:fill="auto"/>
            <w:noWrap/>
            <w:vAlign w:val="bottom"/>
            <w:hideMark/>
          </w:tcPr>
          <w:p w14:paraId="68A82EF5" w14:textId="77777777" w:rsidR="003F1C37" w:rsidRPr="003F1C37" w:rsidRDefault="003F1C37" w:rsidP="000131EB">
            <w:pPr>
              <w:spacing w:after="0" w:line="276" w:lineRule="auto"/>
              <w:jc w:val="center"/>
              <w:rPr>
                <w:rFonts w:ascii="Arial" w:eastAsia="Times New Roman" w:hAnsi="Arial" w:cs="Arial"/>
                <w:color w:val="000000"/>
                <w:sz w:val="22"/>
                <w:lang w:eastAsia="nl-NL"/>
              </w:rPr>
            </w:pPr>
            <w:r w:rsidRPr="003F1C37">
              <w:rPr>
                <w:rFonts w:ascii="Arial" w:eastAsia="Times New Roman" w:hAnsi="Arial" w:cs="Arial"/>
                <w:color w:val="000000"/>
                <w:sz w:val="22"/>
                <w:lang w:eastAsia="nl-NL"/>
              </w:rPr>
              <w:t>1,4%</w:t>
            </w:r>
          </w:p>
        </w:tc>
        <w:tc>
          <w:tcPr>
            <w:tcW w:w="880" w:type="dxa"/>
            <w:tcBorders>
              <w:top w:val="nil"/>
              <w:left w:val="nil"/>
              <w:bottom w:val="single" w:sz="4" w:space="0" w:color="auto"/>
              <w:right w:val="nil"/>
            </w:tcBorders>
            <w:shd w:val="clear" w:color="auto" w:fill="auto"/>
            <w:vAlign w:val="bottom"/>
            <w:hideMark/>
          </w:tcPr>
          <w:p w14:paraId="171E4D3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672 </w:t>
            </w:r>
          </w:p>
        </w:tc>
        <w:tc>
          <w:tcPr>
            <w:tcW w:w="1000" w:type="dxa"/>
            <w:tcBorders>
              <w:top w:val="nil"/>
              <w:left w:val="nil"/>
              <w:bottom w:val="single" w:sz="4" w:space="0" w:color="auto"/>
              <w:right w:val="nil"/>
            </w:tcBorders>
            <w:shd w:val="clear" w:color="auto" w:fill="auto"/>
            <w:vAlign w:val="bottom"/>
            <w:hideMark/>
          </w:tcPr>
          <w:p w14:paraId="0084F327"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2.017 </w:t>
            </w:r>
          </w:p>
        </w:tc>
        <w:tc>
          <w:tcPr>
            <w:tcW w:w="1040" w:type="dxa"/>
            <w:tcBorders>
              <w:top w:val="nil"/>
              <w:left w:val="nil"/>
              <w:bottom w:val="single" w:sz="4" w:space="0" w:color="auto"/>
              <w:right w:val="single" w:sz="4" w:space="0" w:color="auto"/>
            </w:tcBorders>
            <w:shd w:val="clear" w:color="auto" w:fill="auto"/>
            <w:vAlign w:val="bottom"/>
            <w:hideMark/>
          </w:tcPr>
          <w:p w14:paraId="0770CD2D" w14:textId="77777777" w:rsidR="003F1C37" w:rsidRPr="003F1C37" w:rsidRDefault="003F1C37" w:rsidP="000131EB">
            <w:pPr>
              <w:spacing w:after="0" w:line="276" w:lineRule="auto"/>
              <w:rPr>
                <w:rFonts w:ascii="Arial" w:eastAsia="Times New Roman" w:hAnsi="Arial" w:cs="Arial"/>
                <w:color w:val="000000"/>
                <w:sz w:val="22"/>
                <w:lang w:eastAsia="nl-NL"/>
              </w:rPr>
            </w:pPr>
            <w:r w:rsidRPr="003F1C37">
              <w:rPr>
                <w:rFonts w:ascii="Arial" w:eastAsia="Times New Roman" w:hAnsi="Arial" w:cs="Arial"/>
                <w:color w:val="000000"/>
                <w:sz w:val="22"/>
                <w:lang w:eastAsia="nl-NL"/>
              </w:rPr>
              <w:t xml:space="preserve">      4.818 </w:t>
            </w:r>
          </w:p>
        </w:tc>
      </w:tr>
      <w:tr w:rsidR="003F1C37" w:rsidRPr="003F1C37" w14:paraId="42D679E4" w14:textId="77777777" w:rsidTr="003F1C37">
        <w:trPr>
          <w:trHeight w:val="300"/>
        </w:trPr>
        <w:tc>
          <w:tcPr>
            <w:tcW w:w="2120" w:type="dxa"/>
            <w:tcBorders>
              <w:top w:val="nil"/>
              <w:left w:val="nil"/>
              <w:bottom w:val="nil"/>
              <w:right w:val="nil"/>
            </w:tcBorders>
            <w:shd w:val="clear" w:color="auto" w:fill="auto"/>
            <w:noWrap/>
            <w:vAlign w:val="bottom"/>
            <w:hideMark/>
          </w:tcPr>
          <w:p w14:paraId="68F49AE8" w14:textId="77777777" w:rsidR="003F1C37" w:rsidRPr="003F1C37" w:rsidRDefault="003F1C37" w:rsidP="000131EB">
            <w:pPr>
              <w:spacing w:after="0" w:line="276" w:lineRule="auto"/>
              <w:rPr>
                <w:rFonts w:ascii="Arial" w:eastAsia="Times New Roman" w:hAnsi="Arial" w:cs="Arial"/>
                <w:color w:val="000000"/>
                <w:sz w:val="22"/>
                <w:lang w:eastAsia="nl-NL"/>
              </w:rPr>
            </w:pPr>
          </w:p>
        </w:tc>
        <w:tc>
          <w:tcPr>
            <w:tcW w:w="1500" w:type="dxa"/>
            <w:tcBorders>
              <w:top w:val="nil"/>
              <w:left w:val="nil"/>
              <w:bottom w:val="nil"/>
              <w:right w:val="nil"/>
            </w:tcBorders>
            <w:shd w:val="clear" w:color="000000" w:fill="F2F2F2"/>
            <w:noWrap/>
            <w:vAlign w:val="bottom"/>
            <w:hideMark/>
          </w:tcPr>
          <w:p w14:paraId="0AE79E2C" w14:textId="77777777" w:rsidR="003F1C37" w:rsidRPr="003F1C37" w:rsidRDefault="003F1C37" w:rsidP="000131EB">
            <w:pPr>
              <w:spacing w:after="0" w:line="276" w:lineRule="auto"/>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Totaal</w:t>
            </w:r>
          </w:p>
        </w:tc>
        <w:tc>
          <w:tcPr>
            <w:tcW w:w="1180" w:type="dxa"/>
            <w:tcBorders>
              <w:top w:val="nil"/>
              <w:left w:val="nil"/>
              <w:bottom w:val="nil"/>
              <w:right w:val="nil"/>
            </w:tcBorders>
            <w:shd w:val="clear" w:color="000000" w:fill="F2F2F2"/>
            <w:noWrap/>
            <w:vAlign w:val="bottom"/>
            <w:hideMark/>
          </w:tcPr>
          <w:p w14:paraId="72ABBEB8" w14:textId="77777777" w:rsidR="003F1C37" w:rsidRPr="003F1C37" w:rsidRDefault="003F1C37" w:rsidP="000131EB">
            <w:pPr>
              <w:spacing w:after="0" w:line="276" w:lineRule="auto"/>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 xml:space="preserve"> 3.577.002 </w:t>
            </w:r>
          </w:p>
        </w:tc>
        <w:tc>
          <w:tcPr>
            <w:tcW w:w="700" w:type="dxa"/>
            <w:tcBorders>
              <w:top w:val="nil"/>
              <w:left w:val="nil"/>
              <w:bottom w:val="nil"/>
              <w:right w:val="nil"/>
            </w:tcBorders>
            <w:shd w:val="clear" w:color="000000" w:fill="F2F2F2"/>
            <w:noWrap/>
            <w:vAlign w:val="bottom"/>
            <w:hideMark/>
          </w:tcPr>
          <w:p w14:paraId="41C096A6" w14:textId="77777777" w:rsidR="003F1C37" w:rsidRPr="003F1C37" w:rsidRDefault="003F1C37" w:rsidP="000131EB">
            <w:pPr>
              <w:spacing w:after="0" w:line="276" w:lineRule="auto"/>
              <w:jc w:val="center"/>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100%</w:t>
            </w:r>
          </w:p>
        </w:tc>
        <w:tc>
          <w:tcPr>
            <w:tcW w:w="880" w:type="dxa"/>
            <w:tcBorders>
              <w:top w:val="nil"/>
              <w:left w:val="nil"/>
              <w:bottom w:val="nil"/>
              <w:right w:val="nil"/>
            </w:tcBorders>
            <w:shd w:val="clear" w:color="000000" w:fill="F2F2F2"/>
            <w:vAlign w:val="bottom"/>
            <w:hideMark/>
          </w:tcPr>
          <w:p w14:paraId="1460373F" w14:textId="77777777" w:rsidR="003F1C37" w:rsidRPr="003F1C37" w:rsidRDefault="003F1C37" w:rsidP="000131EB">
            <w:pPr>
              <w:spacing w:after="0" w:line="276" w:lineRule="auto"/>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 xml:space="preserve"> 49.432 </w:t>
            </w:r>
          </w:p>
        </w:tc>
        <w:tc>
          <w:tcPr>
            <w:tcW w:w="1000" w:type="dxa"/>
            <w:tcBorders>
              <w:top w:val="nil"/>
              <w:left w:val="nil"/>
              <w:bottom w:val="nil"/>
              <w:right w:val="nil"/>
            </w:tcBorders>
            <w:shd w:val="clear" w:color="000000" w:fill="F2F2F2"/>
            <w:vAlign w:val="bottom"/>
            <w:hideMark/>
          </w:tcPr>
          <w:p w14:paraId="4A3436AA" w14:textId="77777777" w:rsidR="003F1C37" w:rsidRPr="003F1C37" w:rsidRDefault="003F1C37" w:rsidP="000131EB">
            <w:pPr>
              <w:spacing w:after="0" w:line="276" w:lineRule="auto"/>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 xml:space="preserve"> 148.375 </w:t>
            </w:r>
          </w:p>
        </w:tc>
        <w:tc>
          <w:tcPr>
            <w:tcW w:w="1040" w:type="dxa"/>
            <w:tcBorders>
              <w:top w:val="nil"/>
              <w:left w:val="nil"/>
              <w:bottom w:val="nil"/>
              <w:right w:val="nil"/>
            </w:tcBorders>
            <w:shd w:val="clear" w:color="000000" w:fill="F2F2F2"/>
            <w:vAlign w:val="bottom"/>
            <w:hideMark/>
          </w:tcPr>
          <w:p w14:paraId="5021FC3C" w14:textId="77777777" w:rsidR="003F1C37" w:rsidRPr="003F1C37" w:rsidRDefault="003F1C37" w:rsidP="000131EB">
            <w:pPr>
              <w:spacing w:after="0" w:line="276" w:lineRule="auto"/>
              <w:rPr>
                <w:rFonts w:ascii="Arial" w:eastAsia="Times New Roman" w:hAnsi="Arial" w:cs="Arial"/>
                <w:b/>
                <w:bCs/>
                <w:color w:val="000000"/>
                <w:sz w:val="22"/>
                <w:lang w:eastAsia="nl-NL"/>
              </w:rPr>
            </w:pPr>
            <w:r w:rsidRPr="003F1C37">
              <w:rPr>
                <w:rFonts w:ascii="Arial" w:eastAsia="Times New Roman" w:hAnsi="Arial" w:cs="Arial"/>
                <w:b/>
                <w:bCs/>
                <w:color w:val="000000"/>
                <w:sz w:val="22"/>
                <w:lang w:eastAsia="nl-NL"/>
              </w:rPr>
              <w:t xml:space="preserve">  354.436 </w:t>
            </w:r>
          </w:p>
        </w:tc>
      </w:tr>
    </w:tbl>
    <w:p w14:paraId="390EEF7A" w14:textId="77777777" w:rsidR="003F1C37" w:rsidRPr="003F1C37" w:rsidRDefault="003F1C37" w:rsidP="000131EB">
      <w:pPr>
        <w:spacing w:after="0" w:line="276" w:lineRule="auto"/>
        <w:rPr>
          <w:rFonts w:ascii="Avenir Next LT Pro Light" w:hAnsi="Avenir Next LT Pro Light"/>
          <w:sz w:val="18"/>
          <w:szCs w:val="20"/>
        </w:rPr>
      </w:pPr>
      <w:r w:rsidRPr="003F1C37">
        <w:rPr>
          <w:rFonts w:ascii="Avenir Next LT Pro Light" w:hAnsi="Avenir Next LT Pro Light"/>
          <w:sz w:val="18"/>
          <w:szCs w:val="20"/>
        </w:rPr>
        <w:t>Bron: MRA-E, maart 2020</w:t>
      </w:r>
    </w:p>
    <w:sectPr w:rsidR="003F1C37" w:rsidRPr="003F1C37" w:rsidSect="00D90FC0">
      <w:headerReference w:type="default" r:id="rId31"/>
      <w:pgSz w:w="11906" w:h="16838"/>
      <w:pgMar w:top="2269" w:right="1700" w:bottom="170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2B209" w14:textId="77777777" w:rsidR="000830FD" w:rsidRDefault="000830FD" w:rsidP="006D1CD3">
      <w:pPr>
        <w:spacing w:after="0" w:line="240" w:lineRule="auto"/>
      </w:pPr>
      <w:r>
        <w:separator/>
      </w:r>
    </w:p>
  </w:endnote>
  <w:endnote w:type="continuationSeparator" w:id="0">
    <w:p w14:paraId="7631256A" w14:textId="77777777" w:rsidR="000830FD" w:rsidRDefault="000830FD" w:rsidP="006D1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venir Next LT Pro Light">
    <w:altName w:val="Calibri"/>
    <w:panose1 w:val="020B0304020202020204"/>
    <w:charset w:val="00"/>
    <w:family w:val="swiss"/>
    <w:pitch w:val="variable"/>
    <w:sig w:usb0="A00000EF" w:usb1="5000204B" w:usb2="00000000" w:usb3="00000000" w:csb0="00000093" w:csb1="00000000"/>
  </w:font>
  <w:font w:name="Bahnschrift">
    <w:altName w:val="Calibri"/>
    <w:panose1 w:val="020B0604020202020204"/>
    <w:charset w:val="00"/>
    <w:family w:val="swiss"/>
    <w:pitch w:val="variable"/>
    <w:sig w:usb0="A00002C7" w:usb1="00000002"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LT Pro">
    <w:altName w:val="Calibri"/>
    <w:panose1 w:val="020B0503020202020204"/>
    <w:charset w:val="00"/>
    <w:family w:val="swiss"/>
    <w:pitch w:val="variable"/>
    <w:sig w:usb0="800000EF" w:usb1="5000204A" w:usb2="00000000" w:usb3="00000000" w:csb0="00000093" w:csb1="00000000"/>
  </w:font>
  <w:font w:name="Avenir LT Std 45 Book">
    <w:altName w:val="Calibri"/>
    <w:panose1 w:val="02000503020000020003"/>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E2F83" w14:textId="77777777" w:rsidR="000830FD" w:rsidRDefault="000830FD" w:rsidP="006D1CD3">
      <w:pPr>
        <w:spacing w:after="0" w:line="240" w:lineRule="auto"/>
      </w:pPr>
      <w:r>
        <w:separator/>
      </w:r>
    </w:p>
  </w:footnote>
  <w:footnote w:type="continuationSeparator" w:id="0">
    <w:p w14:paraId="513B77C0" w14:textId="77777777" w:rsidR="000830FD" w:rsidRDefault="000830FD" w:rsidP="006D1CD3">
      <w:pPr>
        <w:spacing w:after="0" w:line="240" w:lineRule="auto"/>
      </w:pPr>
      <w:r>
        <w:continuationSeparator/>
      </w:r>
    </w:p>
  </w:footnote>
  <w:footnote w:id="1">
    <w:p w14:paraId="55867944" w14:textId="77777777" w:rsidR="00677C1D" w:rsidRDefault="00677C1D" w:rsidP="008F35C7">
      <w:pPr>
        <w:pStyle w:val="Voetnoottekst"/>
      </w:pPr>
      <w:r>
        <w:rPr>
          <w:rStyle w:val="Voetnootmarkering"/>
        </w:rPr>
        <w:footnoteRef/>
      </w:r>
      <w:r>
        <w:t xml:space="preserve"> </w:t>
      </w:r>
      <w:r w:rsidRPr="00AB4F95">
        <w:rPr>
          <w:rFonts w:ascii="Avenir LT Std 45 Book" w:hAnsi="Avenir LT Std 45 Book"/>
          <w:sz w:val="18"/>
          <w:szCs w:val="18"/>
        </w:rPr>
        <w:t>Cijfers RVO, juni 2020</w:t>
      </w:r>
      <w:r>
        <w:t xml:space="preserve"> </w:t>
      </w:r>
    </w:p>
  </w:footnote>
  <w:footnote w:id="2">
    <w:p w14:paraId="22E70A2F" w14:textId="77777777" w:rsidR="00677C1D" w:rsidRDefault="00677C1D">
      <w:pPr>
        <w:pStyle w:val="Voetnoottekst"/>
      </w:pPr>
      <w:r>
        <w:rPr>
          <w:rStyle w:val="Voetnootmarkering"/>
        </w:rPr>
        <w:footnoteRef/>
      </w:r>
      <w:r>
        <w:t xml:space="preserve"> </w:t>
      </w:r>
      <w:r w:rsidRPr="008163FB">
        <w:rPr>
          <w:sz w:val="18"/>
          <w:szCs w:val="18"/>
        </w:rPr>
        <w:t xml:space="preserve">Alle gemeenten in de provincies Noord-Holland, Flevoland en Utrecht exclusief de gemeente Amsterdam en de gemeente Utrecht. Deze gemeenten zijn onderdeel van de regio G4. </w:t>
      </w:r>
    </w:p>
  </w:footnote>
  <w:footnote w:id="3">
    <w:p w14:paraId="147E76CF" w14:textId="77777777" w:rsidR="00677C1D" w:rsidRDefault="00677C1D" w:rsidP="0012708A">
      <w:pPr>
        <w:pStyle w:val="Voetnoottekst"/>
      </w:pPr>
      <w:r>
        <w:rPr>
          <w:rStyle w:val="Voetnootmarkering"/>
        </w:rPr>
        <w:footnoteRef/>
      </w:r>
      <w:r>
        <w:t xml:space="preserve"> </w:t>
      </w:r>
      <w:r w:rsidRPr="001409D9">
        <w:rPr>
          <w:sz w:val="18"/>
          <w:szCs w:val="18"/>
        </w:rPr>
        <w:t>Bron: anwb.nl en ev-database.nl</w:t>
      </w:r>
    </w:p>
  </w:footnote>
  <w:footnote w:id="4">
    <w:p w14:paraId="52A08C7C" w14:textId="77777777" w:rsidR="00677C1D" w:rsidRDefault="00677C1D" w:rsidP="00E3511E">
      <w:pPr>
        <w:pStyle w:val="Voetnoottekst"/>
      </w:pPr>
      <w:r>
        <w:rPr>
          <w:rStyle w:val="Voetnootmarkering"/>
        </w:rPr>
        <w:footnoteRef/>
      </w:r>
      <w:r>
        <w:t xml:space="preserve"> </w:t>
      </w:r>
      <w:r w:rsidRPr="00461AFD">
        <w:rPr>
          <w:sz w:val="18"/>
          <w:szCs w:val="18"/>
        </w:rPr>
        <w:t>Bron: Kamerbrief ‘Voortgang beleidsagenda kabinetsvisie waterstof’, december 2020</w:t>
      </w:r>
    </w:p>
  </w:footnote>
  <w:footnote w:id="5">
    <w:p w14:paraId="743A4E1B" w14:textId="77777777" w:rsidR="00677C1D" w:rsidRDefault="00677C1D" w:rsidP="00E3511E">
      <w:pPr>
        <w:pStyle w:val="Voetnoottekst"/>
      </w:pPr>
      <w:r>
        <w:rPr>
          <w:rStyle w:val="Voetnootmarkering"/>
        </w:rPr>
        <w:footnoteRef/>
      </w:r>
      <w:r>
        <w:t xml:space="preserve"> </w:t>
      </w:r>
      <w:r w:rsidRPr="00E3511E">
        <w:rPr>
          <w:sz w:val="18"/>
          <w:szCs w:val="18"/>
        </w:rPr>
        <w:t>Gemeente Amsterdam (2020). Laad me</w:t>
      </w:r>
      <w:r>
        <w:rPr>
          <w:sz w:val="18"/>
          <w:szCs w:val="18"/>
        </w:rPr>
        <w:t xml:space="preserve"> – </w:t>
      </w:r>
      <w:r w:rsidRPr="00E3511E">
        <w:rPr>
          <w:sz w:val="18"/>
          <w:szCs w:val="18"/>
        </w:rPr>
        <w:t xml:space="preserve">Strategisch plan laadinfrastructuur 2020 – 2030. </w:t>
      </w:r>
    </w:p>
  </w:footnote>
  <w:footnote w:id="6">
    <w:p w14:paraId="7BD35293" w14:textId="77777777" w:rsidR="00677C1D" w:rsidRDefault="00677C1D" w:rsidP="00E3511E">
      <w:pPr>
        <w:pStyle w:val="Voetnoottekst"/>
      </w:pPr>
      <w:r>
        <w:rPr>
          <w:rStyle w:val="Voetnootmarkering"/>
        </w:rPr>
        <w:footnoteRef/>
      </w:r>
      <w:r>
        <w:t xml:space="preserve"> </w:t>
      </w:r>
      <w:r w:rsidRPr="00E3511E">
        <w:rPr>
          <w:sz w:val="18"/>
          <w:szCs w:val="18"/>
        </w:rPr>
        <w:t xml:space="preserve">Erasmus &amp; TKI Dinalog (2020). De betekenis van waterstof voor de Nederlandse logistieke sector: heilige graag of luchtballon? </w:t>
      </w:r>
    </w:p>
  </w:footnote>
  <w:footnote w:id="7">
    <w:p w14:paraId="7513B97A" w14:textId="2EB85BB9" w:rsidR="00677C1D" w:rsidRDefault="00677C1D">
      <w:pPr>
        <w:pStyle w:val="Voetnoottekst"/>
      </w:pPr>
      <w:r>
        <w:rPr>
          <w:rStyle w:val="Voetnootmarkering"/>
        </w:rPr>
        <w:footnoteRef/>
      </w:r>
      <w:r>
        <w:t xml:space="preserve"> </w:t>
      </w:r>
      <w:r w:rsidRPr="00477807">
        <w:rPr>
          <w:rFonts w:ascii="Avenir Next LT Pro Light" w:hAnsi="Avenir Next LT Pro Light"/>
          <w:sz w:val="18"/>
          <w:szCs w:val="18"/>
        </w:rPr>
        <w:t xml:space="preserve">Voor een uitgebreide toelichting over snelladen per doelgroep kunt u het </w:t>
      </w:r>
      <w:r w:rsidRPr="00477807">
        <w:rPr>
          <w:rFonts w:ascii="Avenir Next LT Pro Light" w:hAnsi="Avenir Next LT Pro Light"/>
          <w:i/>
          <w:iCs/>
          <w:sz w:val="18"/>
          <w:szCs w:val="18"/>
        </w:rPr>
        <w:t>Plan van aanpak snelladen</w:t>
      </w:r>
      <w:r>
        <w:rPr>
          <w:rFonts w:ascii="Avenir Next LT Pro Light" w:hAnsi="Avenir Next LT Pro Light"/>
          <w:sz w:val="18"/>
          <w:szCs w:val="18"/>
        </w:rPr>
        <w:t xml:space="preserve"> </w:t>
      </w:r>
      <w:r w:rsidRPr="00477807">
        <w:rPr>
          <w:rFonts w:ascii="Avenir Next LT Pro Light" w:hAnsi="Avenir Next LT Pro Light"/>
          <w:sz w:val="18"/>
          <w:szCs w:val="18"/>
        </w:rPr>
        <w:t>raadplegen</w:t>
      </w:r>
      <w:r>
        <w:rPr>
          <w:rFonts w:ascii="Avenir Next LT Pro Light" w:hAnsi="Avenir Next LT Pro Light"/>
          <w:sz w:val="18"/>
          <w:szCs w:val="18"/>
        </w:rPr>
        <w:t xml:space="preserve"> (verwacht juni 2021)</w:t>
      </w:r>
      <w:r w:rsidRPr="00477807">
        <w:rPr>
          <w:rFonts w:ascii="Avenir Next LT Pro Light" w:hAnsi="Avenir Next LT Pro Light"/>
          <w:sz w:val="18"/>
          <w:szCs w:val="18"/>
        </w:rPr>
        <w:t>.</w:t>
      </w:r>
      <w:r w:rsidRPr="00477807">
        <w:rPr>
          <w:sz w:val="18"/>
          <w:szCs w:val="18"/>
        </w:rPr>
        <w:t xml:space="preserve"> </w:t>
      </w:r>
    </w:p>
  </w:footnote>
  <w:footnote w:id="8">
    <w:p w14:paraId="10BF62B4" w14:textId="78E9343C" w:rsidR="00677C1D" w:rsidRDefault="00677C1D">
      <w:pPr>
        <w:pStyle w:val="Voetnoottekst"/>
      </w:pPr>
      <w:r>
        <w:rPr>
          <w:rStyle w:val="Voetnootmarkering"/>
        </w:rPr>
        <w:footnoteRef/>
      </w:r>
      <w:r>
        <w:t xml:space="preserve"> </w:t>
      </w:r>
      <w:r w:rsidRPr="00C705BC">
        <w:rPr>
          <w:sz w:val="18"/>
          <w:szCs w:val="18"/>
        </w:rPr>
        <w:t xml:space="preserve">Waarvan ruim </w:t>
      </w:r>
      <w:r>
        <w:rPr>
          <w:sz w:val="18"/>
          <w:szCs w:val="18"/>
        </w:rPr>
        <w:t>7</w:t>
      </w:r>
      <w:r w:rsidRPr="00C705BC">
        <w:rPr>
          <w:sz w:val="18"/>
          <w:szCs w:val="18"/>
        </w:rPr>
        <w:t xml:space="preserve">.000 binnen de concessies van MRA-Elektrisch </w:t>
      </w:r>
    </w:p>
  </w:footnote>
  <w:footnote w:id="9">
    <w:p w14:paraId="193A3DBA" w14:textId="77777777" w:rsidR="00677C1D" w:rsidRDefault="00677C1D">
      <w:pPr>
        <w:pStyle w:val="Voetnoottekst"/>
      </w:pPr>
      <w:r>
        <w:rPr>
          <w:rStyle w:val="Voetnootmarkering"/>
        </w:rPr>
        <w:footnoteRef/>
      </w:r>
      <w:r>
        <w:t xml:space="preserve"> </w:t>
      </w:r>
      <w:r w:rsidRPr="00372318">
        <w:rPr>
          <w:sz w:val="18"/>
          <w:szCs w:val="18"/>
        </w:rPr>
        <w:t xml:space="preserve">TNO (2018). </w:t>
      </w:r>
      <w:r w:rsidRPr="00372318">
        <w:rPr>
          <w:i/>
          <w:iCs/>
          <w:sz w:val="18"/>
          <w:szCs w:val="18"/>
        </w:rPr>
        <w:t>Publieke Laadinfrastructuur Elektrisch Vervoer en rol van MRA-E en G4</w:t>
      </w:r>
      <w:r>
        <w:t>.</w:t>
      </w:r>
    </w:p>
  </w:footnote>
  <w:footnote w:id="10">
    <w:p w14:paraId="6A5ED419" w14:textId="77777777" w:rsidR="00677C1D" w:rsidRPr="00341714" w:rsidRDefault="00677C1D" w:rsidP="004C79D8">
      <w:pPr>
        <w:pStyle w:val="Voetnoottekst"/>
        <w:rPr>
          <w:sz w:val="18"/>
          <w:szCs w:val="18"/>
        </w:rPr>
      </w:pPr>
      <w:r w:rsidRPr="00341714">
        <w:rPr>
          <w:rStyle w:val="Voetnootmarkering"/>
          <w:sz w:val="18"/>
          <w:szCs w:val="18"/>
        </w:rPr>
        <w:footnoteRef/>
      </w:r>
      <w:r w:rsidRPr="00341714">
        <w:rPr>
          <w:sz w:val="18"/>
          <w:szCs w:val="18"/>
        </w:rPr>
        <w:t xml:space="preserve"> MRA-</w:t>
      </w:r>
      <w:r>
        <w:rPr>
          <w:sz w:val="18"/>
          <w:szCs w:val="18"/>
        </w:rPr>
        <w:t>E</w:t>
      </w:r>
      <w:r w:rsidRPr="00341714">
        <w:rPr>
          <w:sz w:val="18"/>
          <w:szCs w:val="18"/>
        </w:rPr>
        <w:t xml:space="preserve"> (2019). Beleidsadvies elektrisch vervoer. </w:t>
      </w:r>
    </w:p>
  </w:footnote>
  <w:footnote w:id="11">
    <w:p w14:paraId="52FBA084" w14:textId="77777777" w:rsidR="00677C1D" w:rsidRDefault="00677C1D" w:rsidP="004C79D8">
      <w:pPr>
        <w:pStyle w:val="Voetnoottekst"/>
      </w:pPr>
      <w:r w:rsidRPr="00341714">
        <w:rPr>
          <w:rStyle w:val="Voetnootmarkering"/>
          <w:sz w:val="18"/>
          <w:szCs w:val="18"/>
        </w:rPr>
        <w:footnoteRef/>
      </w:r>
      <w:r w:rsidRPr="00341714">
        <w:rPr>
          <w:sz w:val="18"/>
          <w:szCs w:val="18"/>
        </w:rPr>
        <w:t xml:space="preserve"> NKL (2019). Handreiking visie en beleid laadinfrastructuur. </w:t>
      </w:r>
    </w:p>
  </w:footnote>
  <w:footnote w:id="12">
    <w:p w14:paraId="1A49D534" w14:textId="77777777" w:rsidR="00677C1D" w:rsidRDefault="00677C1D">
      <w:pPr>
        <w:pStyle w:val="Voetnoottekst"/>
      </w:pPr>
      <w:r>
        <w:rPr>
          <w:rStyle w:val="Voetnootmarkering"/>
        </w:rPr>
        <w:footnoteRef/>
      </w:r>
      <w:r>
        <w:t xml:space="preserve"> </w:t>
      </w:r>
      <w:r w:rsidRPr="000434D0">
        <w:rPr>
          <w:sz w:val="18"/>
          <w:szCs w:val="18"/>
        </w:rPr>
        <w:t xml:space="preserve">APPM (2019). </w:t>
      </w:r>
      <w:r w:rsidRPr="000434D0">
        <w:rPr>
          <w:i/>
          <w:iCs/>
          <w:sz w:val="18"/>
          <w:szCs w:val="18"/>
        </w:rPr>
        <w:t>Prognose laadinfrastructuur</w:t>
      </w:r>
      <w:r w:rsidRPr="000434D0">
        <w:rPr>
          <w:sz w:val="18"/>
          <w:szCs w:val="18"/>
        </w:rPr>
        <w:t xml:space="preserve">. </w:t>
      </w:r>
    </w:p>
  </w:footnote>
  <w:footnote w:id="13">
    <w:p w14:paraId="1D84D8ED" w14:textId="77777777" w:rsidR="00677C1D" w:rsidRDefault="00677C1D">
      <w:pPr>
        <w:pStyle w:val="Voetnoottekst"/>
      </w:pPr>
      <w:r>
        <w:rPr>
          <w:rStyle w:val="Voetnootmarkering"/>
        </w:rPr>
        <w:footnoteRef/>
      </w:r>
      <w:r>
        <w:t xml:space="preserve"> </w:t>
      </w:r>
      <w:r w:rsidRPr="000434D0">
        <w:rPr>
          <w:sz w:val="18"/>
          <w:szCs w:val="18"/>
        </w:rPr>
        <w:t xml:space="preserve">TNO (2019). </w:t>
      </w:r>
      <w:r w:rsidRPr="000434D0">
        <w:rPr>
          <w:i/>
          <w:iCs/>
          <w:sz w:val="18"/>
          <w:szCs w:val="18"/>
        </w:rPr>
        <w:t>Behoefte aan infrastructuur voor alternatieve energiedragers voor mobiliteit in Nederland.</w:t>
      </w:r>
    </w:p>
  </w:footnote>
  <w:footnote w:id="14">
    <w:p w14:paraId="1637E9B7" w14:textId="2B266699" w:rsidR="00677C1D" w:rsidRDefault="00677C1D">
      <w:pPr>
        <w:pStyle w:val="Voetnoottekst"/>
      </w:pPr>
      <w:r>
        <w:rPr>
          <w:rStyle w:val="Voetnootmarkering"/>
        </w:rPr>
        <w:footnoteRef/>
      </w:r>
      <w:r>
        <w:t xml:space="preserve"> Dit kan alleen voor de laadpalen die via MRA-E in beheer zijn.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F2A1C" w14:textId="74F55FD9" w:rsidR="00677C1D" w:rsidRDefault="00677C1D">
    <w:pPr>
      <w:pStyle w:val="Koptekst"/>
    </w:pPr>
    <w:r w:rsidRPr="006D1CD3">
      <w:rPr>
        <w:rFonts w:ascii="Avenir LT Std 45 Book" w:hAnsi="Avenir LT Std 45 Book"/>
        <w:b/>
        <w:bCs/>
        <w:noProof/>
        <w:sz w:val="40"/>
        <w:szCs w:val="44"/>
        <w:lang w:eastAsia="nl-NL"/>
      </w:rPr>
      <w:drawing>
        <wp:anchor distT="0" distB="0" distL="114300" distR="114300" simplePos="0" relativeHeight="251657216" behindDoc="0" locked="0" layoutInCell="1" allowOverlap="1" wp14:anchorId="62CCECF9" wp14:editId="6AAC096F">
          <wp:simplePos x="0" y="0"/>
          <wp:positionH relativeFrom="column">
            <wp:posOffset>3996831</wp:posOffset>
          </wp:positionH>
          <wp:positionV relativeFrom="paragraph">
            <wp:posOffset>-12852</wp:posOffset>
          </wp:positionV>
          <wp:extent cx="1787857" cy="436521"/>
          <wp:effectExtent l="0" t="0" r="3175"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355" cy="437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222"/>
    <w:multiLevelType w:val="hybridMultilevel"/>
    <w:tmpl w:val="DE90E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7B64AA"/>
    <w:multiLevelType w:val="hybridMultilevel"/>
    <w:tmpl w:val="CD78F2A0"/>
    <w:lvl w:ilvl="0" w:tplc="1F02D592">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206CF"/>
    <w:multiLevelType w:val="hybridMultilevel"/>
    <w:tmpl w:val="E730A06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3C55BA8"/>
    <w:multiLevelType w:val="hybridMultilevel"/>
    <w:tmpl w:val="EAF0BC4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55964A2"/>
    <w:multiLevelType w:val="hybridMultilevel"/>
    <w:tmpl w:val="C97C11A0"/>
    <w:lvl w:ilvl="0" w:tplc="66E4CFD8">
      <w:start w:val="1"/>
      <w:numFmt w:val="bullet"/>
      <w:lvlText w:val="–"/>
      <w:lvlJc w:val="left"/>
      <w:pPr>
        <w:ind w:left="720" w:hanging="360"/>
      </w:pPr>
      <w:rPr>
        <w:rFonts w:ascii="Franklin Gothic Book" w:hAnsi="Franklin Gothic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952A0B"/>
    <w:multiLevelType w:val="hybridMultilevel"/>
    <w:tmpl w:val="6B342D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7F90C72"/>
    <w:multiLevelType w:val="hybridMultilevel"/>
    <w:tmpl w:val="57221B3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86134DA"/>
    <w:multiLevelType w:val="hybridMultilevel"/>
    <w:tmpl w:val="8C9E1E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91A625F"/>
    <w:multiLevelType w:val="hybridMultilevel"/>
    <w:tmpl w:val="60E6C55A"/>
    <w:lvl w:ilvl="0" w:tplc="66E4CFD8">
      <w:start w:val="1"/>
      <w:numFmt w:val="bullet"/>
      <w:lvlText w:val="–"/>
      <w:lvlJc w:val="left"/>
      <w:pPr>
        <w:ind w:left="720" w:hanging="360"/>
      </w:pPr>
      <w:rPr>
        <w:rFonts w:ascii="Franklin Gothic Book" w:hAnsi="Franklin Gothic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B0C06E0"/>
    <w:multiLevelType w:val="hybridMultilevel"/>
    <w:tmpl w:val="CBB09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470FF0"/>
    <w:multiLevelType w:val="hybridMultilevel"/>
    <w:tmpl w:val="286AC91E"/>
    <w:lvl w:ilvl="0" w:tplc="66E4CFD8">
      <w:start w:val="1"/>
      <w:numFmt w:val="bullet"/>
      <w:lvlText w:val="–"/>
      <w:lvlJc w:val="left"/>
      <w:pPr>
        <w:ind w:left="720" w:hanging="360"/>
      </w:pPr>
      <w:rPr>
        <w:rFonts w:ascii="Franklin Gothic Book" w:hAnsi="Franklin Gothic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BF5A6F"/>
    <w:multiLevelType w:val="multilevel"/>
    <w:tmpl w:val="BC84A748"/>
    <w:lvl w:ilvl="0">
      <w:start w:val="1"/>
      <w:numFmt w:val="decimal"/>
      <w:pStyle w:val="Kop1"/>
      <w:lvlText w:val="%1."/>
      <w:lvlJc w:val="left"/>
      <w:pPr>
        <w:ind w:left="680" w:hanging="680"/>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680" w:hanging="680"/>
      </w:pPr>
      <w:rPr>
        <w:rFonts w:hint="default"/>
      </w:rPr>
    </w:lvl>
    <w:lvl w:ilvl="3">
      <w:start w:val="1"/>
      <w:numFmt w:val="none"/>
      <w:pStyle w:val="Kop4"/>
      <w:lvlText w:val=""/>
      <w:lvlJc w:val="left"/>
      <w:pPr>
        <w:ind w:left="680" w:hanging="68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71F45B5"/>
    <w:multiLevelType w:val="hybridMultilevel"/>
    <w:tmpl w:val="C17667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A3E0583"/>
    <w:multiLevelType w:val="hybridMultilevel"/>
    <w:tmpl w:val="2FEE0BFE"/>
    <w:lvl w:ilvl="0" w:tplc="59241EA8">
      <w:start w:val="1"/>
      <w:numFmt w:val="bullet"/>
      <w:lvlText w:val=""/>
      <w:lvlJc w:val="left"/>
      <w:pPr>
        <w:tabs>
          <w:tab w:val="num" w:pos="720"/>
        </w:tabs>
        <w:ind w:left="720" w:hanging="360"/>
      </w:pPr>
      <w:rPr>
        <w:rFonts w:ascii="Symbol" w:hAnsi="Symbol" w:hint="default"/>
      </w:rPr>
    </w:lvl>
    <w:lvl w:ilvl="1" w:tplc="73423502" w:tentative="1">
      <w:start w:val="1"/>
      <w:numFmt w:val="bullet"/>
      <w:lvlText w:val=""/>
      <w:lvlJc w:val="left"/>
      <w:pPr>
        <w:tabs>
          <w:tab w:val="num" w:pos="1440"/>
        </w:tabs>
        <w:ind w:left="1440" w:hanging="360"/>
      </w:pPr>
      <w:rPr>
        <w:rFonts w:ascii="Symbol" w:hAnsi="Symbol" w:hint="default"/>
      </w:rPr>
    </w:lvl>
    <w:lvl w:ilvl="2" w:tplc="F64EA326" w:tentative="1">
      <w:start w:val="1"/>
      <w:numFmt w:val="bullet"/>
      <w:lvlText w:val=""/>
      <w:lvlJc w:val="left"/>
      <w:pPr>
        <w:tabs>
          <w:tab w:val="num" w:pos="2160"/>
        </w:tabs>
        <w:ind w:left="2160" w:hanging="360"/>
      </w:pPr>
      <w:rPr>
        <w:rFonts w:ascii="Symbol" w:hAnsi="Symbol" w:hint="default"/>
      </w:rPr>
    </w:lvl>
    <w:lvl w:ilvl="3" w:tplc="717C42B4" w:tentative="1">
      <w:start w:val="1"/>
      <w:numFmt w:val="bullet"/>
      <w:lvlText w:val=""/>
      <w:lvlJc w:val="left"/>
      <w:pPr>
        <w:tabs>
          <w:tab w:val="num" w:pos="2880"/>
        </w:tabs>
        <w:ind w:left="2880" w:hanging="360"/>
      </w:pPr>
      <w:rPr>
        <w:rFonts w:ascii="Symbol" w:hAnsi="Symbol" w:hint="default"/>
      </w:rPr>
    </w:lvl>
    <w:lvl w:ilvl="4" w:tplc="4BA8D1A0" w:tentative="1">
      <w:start w:val="1"/>
      <w:numFmt w:val="bullet"/>
      <w:lvlText w:val=""/>
      <w:lvlJc w:val="left"/>
      <w:pPr>
        <w:tabs>
          <w:tab w:val="num" w:pos="3600"/>
        </w:tabs>
        <w:ind w:left="3600" w:hanging="360"/>
      </w:pPr>
      <w:rPr>
        <w:rFonts w:ascii="Symbol" w:hAnsi="Symbol" w:hint="default"/>
      </w:rPr>
    </w:lvl>
    <w:lvl w:ilvl="5" w:tplc="9198FA72" w:tentative="1">
      <w:start w:val="1"/>
      <w:numFmt w:val="bullet"/>
      <w:lvlText w:val=""/>
      <w:lvlJc w:val="left"/>
      <w:pPr>
        <w:tabs>
          <w:tab w:val="num" w:pos="4320"/>
        </w:tabs>
        <w:ind w:left="4320" w:hanging="360"/>
      </w:pPr>
      <w:rPr>
        <w:rFonts w:ascii="Symbol" w:hAnsi="Symbol" w:hint="default"/>
      </w:rPr>
    </w:lvl>
    <w:lvl w:ilvl="6" w:tplc="99085654" w:tentative="1">
      <w:start w:val="1"/>
      <w:numFmt w:val="bullet"/>
      <w:lvlText w:val=""/>
      <w:lvlJc w:val="left"/>
      <w:pPr>
        <w:tabs>
          <w:tab w:val="num" w:pos="5040"/>
        </w:tabs>
        <w:ind w:left="5040" w:hanging="360"/>
      </w:pPr>
      <w:rPr>
        <w:rFonts w:ascii="Symbol" w:hAnsi="Symbol" w:hint="default"/>
      </w:rPr>
    </w:lvl>
    <w:lvl w:ilvl="7" w:tplc="4EEC0C4C" w:tentative="1">
      <w:start w:val="1"/>
      <w:numFmt w:val="bullet"/>
      <w:lvlText w:val=""/>
      <w:lvlJc w:val="left"/>
      <w:pPr>
        <w:tabs>
          <w:tab w:val="num" w:pos="5760"/>
        </w:tabs>
        <w:ind w:left="5760" w:hanging="360"/>
      </w:pPr>
      <w:rPr>
        <w:rFonts w:ascii="Symbol" w:hAnsi="Symbol" w:hint="default"/>
      </w:rPr>
    </w:lvl>
    <w:lvl w:ilvl="8" w:tplc="35D0BA1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A6E2568"/>
    <w:multiLevelType w:val="hybridMultilevel"/>
    <w:tmpl w:val="A1AEFE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D1B3FB3"/>
    <w:multiLevelType w:val="hybridMultilevel"/>
    <w:tmpl w:val="D2081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376B4"/>
    <w:multiLevelType w:val="hybridMultilevel"/>
    <w:tmpl w:val="3D4E46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9F54F12"/>
    <w:multiLevelType w:val="hybridMultilevel"/>
    <w:tmpl w:val="4392C09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C80EA4"/>
    <w:multiLevelType w:val="hybridMultilevel"/>
    <w:tmpl w:val="B1FA3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390475"/>
    <w:multiLevelType w:val="hybridMultilevel"/>
    <w:tmpl w:val="31CA8E1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29407B3"/>
    <w:multiLevelType w:val="hybridMultilevel"/>
    <w:tmpl w:val="FA760DA8"/>
    <w:lvl w:ilvl="0" w:tplc="6374DB2E">
      <w:start w:val="1"/>
      <w:numFmt w:val="bullet"/>
      <w:lvlText w:val=""/>
      <w:lvlJc w:val="left"/>
      <w:pPr>
        <w:tabs>
          <w:tab w:val="num" w:pos="720"/>
        </w:tabs>
        <w:ind w:left="720" w:hanging="360"/>
      </w:pPr>
      <w:rPr>
        <w:rFonts w:ascii="Symbol" w:hAnsi="Symbol" w:hint="default"/>
      </w:rPr>
    </w:lvl>
    <w:lvl w:ilvl="1" w:tplc="3362B702" w:tentative="1">
      <w:start w:val="1"/>
      <w:numFmt w:val="bullet"/>
      <w:lvlText w:val=""/>
      <w:lvlJc w:val="left"/>
      <w:pPr>
        <w:tabs>
          <w:tab w:val="num" w:pos="1440"/>
        </w:tabs>
        <w:ind w:left="1440" w:hanging="360"/>
      </w:pPr>
      <w:rPr>
        <w:rFonts w:ascii="Symbol" w:hAnsi="Symbol" w:hint="default"/>
      </w:rPr>
    </w:lvl>
    <w:lvl w:ilvl="2" w:tplc="554A50CE" w:tentative="1">
      <w:start w:val="1"/>
      <w:numFmt w:val="bullet"/>
      <w:lvlText w:val=""/>
      <w:lvlJc w:val="left"/>
      <w:pPr>
        <w:tabs>
          <w:tab w:val="num" w:pos="2160"/>
        </w:tabs>
        <w:ind w:left="2160" w:hanging="360"/>
      </w:pPr>
      <w:rPr>
        <w:rFonts w:ascii="Symbol" w:hAnsi="Symbol" w:hint="default"/>
      </w:rPr>
    </w:lvl>
    <w:lvl w:ilvl="3" w:tplc="59A22B6C" w:tentative="1">
      <w:start w:val="1"/>
      <w:numFmt w:val="bullet"/>
      <w:lvlText w:val=""/>
      <w:lvlJc w:val="left"/>
      <w:pPr>
        <w:tabs>
          <w:tab w:val="num" w:pos="2880"/>
        </w:tabs>
        <w:ind w:left="2880" w:hanging="360"/>
      </w:pPr>
      <w:rPr>
        <w:rFonts w:ascii="Symbol" w:hAnsi="Symbol" w:hint="default"/>
      </w:rPr>
    </w:lvl>
    <w:lvl w:ilvl="4" w:tplc="485C8634" w:tentative="1">
      <w:start w:val="1"/>
      <w:numFmt w:val="bullet"/>
      <w:lvlText w:val=""/>
      <w:lvlJc w:val="left"/>
      <w:pPr>
        <w:tabs>
          <w:tab w:val="num" w:pos="3600"/>
        </w:tabs>
        <w:ind w:left="3600" w:hanging="360"/>
      </w:pPr>
      <w:rPr>
        <w:rFonts w:ascii="Symbol" w:hAnsi="Symbol" w:hint="default"/>
      </w:rPr>
    </w:lvl>
    <w:lvl w:ilvl="5" w:tplc="04AA3E96" w:tentative="1">
      <w:start w:val="1"/>
      <w:numFmt w:val="bullet"/>
      <w:lvlText w:val=""/>
      <w:lvlJc w:val="left"/>
      <w:pPr>
        <w:tabs>
          <w:tab w:val="num" w:pos="4320"/>
        </w:tabs>
        <w:ind w:left="4320" w:hanging="360"/>
      </w:pPr>
      <w:rPr>
        <w:rFonts w:ascii="Symbol" w:hAnsi="Symbol" w:hint="default"/>
      </w:rPr>
    </w:lvl>
    <w:lvl w:ilvl="6" w:tplc="53207C6C" w:tentative="1">
      <w:start w:val="1"/>
      <w:numFmt w:val="bullet"/>
      <w:lvlText w:val=""/>
      <w:lvlJc w:val="left"/>
      <w:pPr>
        <w:tabs>
          <w:tab w:val="num" w:pos="5040"/>
        </w:tabs>
        <w:ind w:left="5040" w:hanging="360"/>
      </w:pPr>
      <w:rPr>
        <w:rFonts w:ascii="Symbol" w:hAnsi="Symbol" w:hint="default"/>
      </w:rPr>
    </w:lvl>
    <w:lvl w:ilvl="7" w:tplc="B34E6D3E" w:tentative="1">
      <w:start w:val="1"/>
      <w:numFmt w:val="bullet"/>
      <w:lvlText w:val=""/>
      <w:lvlJc w:val="left"/>
      <w:pPr>
        <w:tabs>
          <w:tab w:val="num" w:pos="5760"/>
        </w:tabs>
        <w:ind w:left="5760" w:hanging="360"/>
      </w:pPr>
      <w:rPr>
        <w:rFonts w:ascii="Symbol" w:hAnsi="Symbol" w:hint="default"/>
      </w:rPr>
    </w:lvl>
    <w:lvl w:ilvl="8" w:tplc="4E0C921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2D0059C"/>
    <w:multiLevelType w:val="hybridMultilevel"/>
    <w:tmpl w:val="DAAA6B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8E0315F"/>
    <w:multiLevelType w:val="hybridMultilevel"/>
    <w:tmpl w:val="B276FD84"/>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CA67D82"/>
    <w:multiLevelType w:val="hybridMultilevel"/>
    <w:tmpl w:val="51EEA4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3B94195"/>
    <w:multiLevelType w:val="hybridMultilevel"/>
    <w:tmpl w:val="7DC212E6"/>
    <w:lvl w:ilvl="0" w:tplc="66E4CFD8">
      <w:start w:val="1"/>
      <w:numFmt w:val="bullet"/>
      <w:lvlText w:val="–"/>
      <w:lvlJc w:val="left"/>
      <w:pPr>
        <w:ind w:left="720" w:hanging="360"/>
      </w:pPr>
      <w:rPr>
        <w:rFonts w:ascii="Franklin Gothic Book" w:hAnsi="Franklin Gothic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B31E2F"/>
    <w:multiLevelType w:val="hybridMultilevel"/>
    <w:tmpl w:val="3A9002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82568CF"/>
    <w:multiLevelType w:val="hybridMultilevel"/>
    <w:tmpl w:val="58A87964"/>
    <w:lvl w:ilvl="0" w:tplc="66E4CFD8">
      <w:start w:val="1"/>
      <w:numFmt w:val="bullet"/>
      <w:lvlText w:val="–"/>
      <w:lvlJc w:val="left"/>
      <w:pPr>
        <w:ind w:left="720" w:hanging="360"/>
      </w:pPr>
      <w:rPr>
        <w:rFonts w:ascii="Franklin Gothic Book" w:hAnsi="Franklin Gothic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D139A5"/>
    <w:multiLevelType w:val="hybridMultilevel"/>
    <w:tmpl w:val="821ABBF6"/>
    <w:lvl w:ilvl="0" w:tplc="A33CD4A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4B723F"/>
    <w:multiLevelType w:val="hybridMultilevel"/>
    <w:tmpl w:val="9118D220"/>
    <w:lvl w:ilvl="0" w:tplc="A33CD4A2">
      <w:start w:val="1"/>
      <w:numFmt w:val="bullet"/>
      <w:lvlText w:val=""/>
      <w:lvlJc w:val="left"/>
      <w:pPr>
        <w:tabs>
          <w:tab w:val="num" w:pos="720"/>
        </w:tabs>
        <w:ind w:left="720" w:hanging="360"/>
      </w:pPr>
      <w:rPr>
        <w:rFonts w:ascii="Symbol" w:hAnsi="Symbol" w:hint="default"/>
      </w:rPr>
    </w:lvl>
    <w:lvl w:ilvl="1" w:tplc="8DF2E924">
      <w:numFmt w:val="bullet"/>
      <w:lvlText w:val="•"/>
      <w:lvlJc w:val="left"/>
      <w:pPr>
        <w:ind w:left="1785" w:hanging="705"/>
      </w:pPr>
      <w:rPr>
        <w:rFonts w:ascii="Franklin Gothic Book" w:eastAsiaTheme="minorHAnsi" w:hAnsi="Franklin Gothic Book" w:cstheme="minorBidi" w:hint="default"/>
      </w:rPr>
    </w:lvl>
    <w:lvl w:ilvl="2" w:tplc="D012D3F6">
      <w:numFmt w:val="bullet"/>
      <w:lvlText w:val="-"/>
      <w:lvlJc w:val="left"/>
      <w:pPr>
        <w:ind w:left="2505" w:hanging="705"/>
      </w:pPr>
      <w:rPr>
        <w:rFonts w:ascii="Franklin Gothic Book" w:eastAsiaTheme="minorHAnsi" w:hAnsi="Franklin Gothic Book" w:cstheme="minorBidi" w:hint="default"/>
      </w:rPr>
    </w:lvl>
    <w:lvl w:ilvl="3" w:tplc="E58E1320">
      <w:start w:val="1"/>
      <w:numFmt w:val="bullet"/>
      <w:lvlText w:val=""/>
      <w:lvlJc w:val="left"/>
      <w:pPr>
        <w:tabs>
          <w:tab w:val="num" w:pos="2880"/>
        </w:tabs>
        <w:ind w:left="2880" w:hanging="360"/>
      </w:pPr>
      <w:rPr>
        <w:rFonts w:ascii="Symbol" w:hAnsi="Symbol" w:hint="default"/>
      </w:rPr>
    </w:lvl>
    <w:lvl w:ilvl="4" w:tplc="125E2550" w:tentative="1">
      <w:start w:val="1"/>
      <w:numFmt w:val="bullet"/>
      <w:lvlText w:val=""/>
      <w:lvlJc w:val="left"/>
      <w:pPr>
        <w:tabs>
          <w:tab w:val="num" w:pos="3600"/>
        </w:tabs>
        <w:ind w:left="3600" w:hanging="360"/>
      </w:pPr>
      <w:rPr>
        <w:rFonts w:ascii="Symbol" w:hAnsi="Symbol" w:hint="default"/>
      </w:rPr>
    </w:lvl>
    <w:lvl w:ilvl="5" w:tplc="CCC2D7CC" w:tentative="1">
      <w:start w:val="1"/>
      <w:numFmt w:val="bullet"/>
      <w:lvlText w:val=""/>
      <w:lvlJc w:val="left"/>
      <w:pPr>
        <w:tabs>
          <w:tab w:val="num" w:pos="4320"/>
        </w:tabs>
        <w:ind w:left="4320" w:hanging="360"/>
      </w:pPr>
      <w:rPr>
        <w:rFonts w:ascii="Symbol" w:hAnsi="Symbol" w:hint="default"/>
      </w:rPr>
    </w:lvl>
    <w:lvl w:ilvl="6" w:tplc="6966034E" w:tentative="1">
      <w:start w:val="1"/>
      <w:numFmt w:val="bullet"/>
      <w:lvlText w:val=""/>
      <w:lvlJc w:val="left"/>
      <w:pPr>
        <w:tabs>
          <w:tab w:val="num" w:pos="5040"/>
        </w:tabs>
        <w:ind w:left="5040" w:hanging="360"/>
      </w:pPr>
      <w:rPr>
        <w:rFonts w:ascii="Symbol" w:hAnsi="Symbol" w:hint="default"/>
      </w:rPr>
    </w:lvl>
    <w:lvl w:ilvl="7" w:tplc="25E08980" w:tentative="1">
      <w:start w:val="1"/>
      <w:numFmt w:val="bullet"/>
      <w:lvlText w:val=""/>
      <w:lvlJc w:val="left"/>
      <w:pPr>
        <w:tabs>
          <w:tab w:val="num" w:pos="5760"/>
        </w:tabs>
        <w:ind w:left="5760" w:hanging="360"/>
      </w:pPr>
      <w:rPr>
        <w:rFonts w:ascii="Symbol" w:hAnsi="Symbol" w:hint="default"/>
      </w:rPr>
    </w:lvl>
    <w:lvl w:ilvl="8" w:tplc="6FAC8BB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01C10E8"/>
    <w:multiLevelType w:val="hybridMultilevel"/>
    <w:tmpl w:val="94DA1B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4DF2C32"/>
    <w:multiLevelType w:val="hybridMultilevel"/>
    <w:tmpl w:val="62689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5E3144"/>
    <w:multiLevelType w:val="hybridMultilevel"/>
    <w:tmpl w:val="911A1502"/>
    <w:lvl w:ilvl="0" w:tplc="2C96BDD2">
      <w:start w:val="1"/>
      <w:numFmt w:val="bullet"/>
      <w:lvlText w:val=""/>
      <w:lvlJc w:val="left"/>
      <w:pPr>
        <w:tabs>
          <w:tab w:val="num" w:pos="720"/>
        </w:tabs>
        <w:ind w:left="720" w:hanging="360"/>
      </w:pPr>
      <w:rPr>
        <w:rFonts w:ascii="Symbol" w:hAnsi="Symbol" w:hint="default"/>
      </w:rPr>
    </w:lvl>
    <w:lvl w:ilvl="1" w:tplc="D4C873C4" w:tentative="1">
      <w:start w:val="1"/>
      <w:numFmt w:val="bullet"/>
      <w:lvlText w:val=""/>
      <w:lvlJc w:val="left"/>
      <w:pPr>
        <w:tabs>
          <w:tab w:val="num" w:pos="1440"/>
        </w:tabs>
        <w:ind w:left="1440" w:hanging="360"/>
      </w:pPr>
      <w:rPr>
        <w:rFonts w:ascii="Symbol" w:hAnsi="Symbol" w:hint="default"/>
      </w:rPr>
    </w:lvl>
    <w:lvl w:ilvl="2" w:tplc="A34E9AC2" w:tentative="1">
      <w:start w:val="1"/>
      <w:numFmt w:val="bullet"/>
      <w:lvlText w:val=""/>
      <w:lvlJc w:val="left"/>
      <w:pPr>
        <w:tabs>
          <w:tab w:val="num" w:pos="2160"/>
        </w:tabs>
        <w:ind w:left="2160" w:hanging="360"/>
      </w:pPr>
      <w:rPr>
        <w:rFonts w:ascii="Symbol" w:hAnsi="Symbol" w:hint="default"/>
      </w:rPr>
    </w:lvl>
    <w:lvl w:ilvl="3" w:tplc="70249EF4" w:tentative="1">
      <w:start w:val="1"/>
      <w:numFmt w:val="bullet"/>
      <w:lvlText w:val=""/>
      <w:lvlJc w:val="left"/>
      <w:pPr>
        <w:tabs>
          <w:tab w:val="num" w:pos="2880"/>
        </w:tabs>
        <w:ind w:left="2880" w:hanging="360"/>
      </w:pPr>
      <w:rPr>
        <w:rFonts w:ascii="Symbol" w:hAnsi="Symbol" w:hint="default"/>
      </w:rPr>
    </w:lvl>
    <w:lvl w:ilvl="4" w:tplc="6A7440BE" w:tentative="1">
      <w:start w:val="1"/>
      <w:numFmt w:val="bullet"/>
      <w:lvlText w:val=""/>
      <w:lvlJc w:val="left"/>
      <w:pPr>
        <w:tabs>
          <w:tab w:val="num" w:pos="3600"/>
        </w:tabs>
        <w:ind w:left="3600" w:hanging="360"/>
      </w:pPr>
      <w:rPr>
        <w:rFonts w:ascii="Symbol" w:hAnsi="Symbol" w:hint="default"/>
      </w:rPr>
    </w:lvl>
    <w:lvl w:ilvl="5" w:tplc="0ABAC418" w:tentative="1">
      <w:start w:val="1"/>
      <w:numFmt w:val="bullet"/>
      <w:lvlText w:val=""/>
      <w:lvlJc w:val="left"/>
      <w:pPr>
        <w:tabs>
          <w:tab w:val="num" w:pos="4320"/>
        </w:tabs>
        <w:ind w:left="4320" w:hanging="360"/>
      </w:pPr>
      <w:rPr>
        <w:rFonts w:ascii="Symbol" w:hAnsi="Symbol" w:hint="default"/>
      </w:rPr>
    </w:lvl>
    <w:lvl w:ilvl="6" w:tplc="6D9A09A6" w:tentative="1">
      <w:start w:val="1"/>
      <w:numFmt w:val="bullet"/>
      <w:lvlText w:val=""/>
      <w:lvlJc w:val="left"/>
      <w:pPr>
        <w:tabs>
          <w:tab w:val="num" w:pos="5040"/>
        </w:tabs>
        <w:ind w:left="5040" w:hanging="360"/>
      </w:pPr>
      <w:rPr>
        <w:rFonts w:ascii="Symbol" w:hAnsi="Symbol" w:hint="default"/>
      </w:rPr>
    </w:lvl>
    <w:lvl w:ilvl="7" w:tplc="88B4D6DA" w:tentative="1">
      <w:start w:val="1"/>
      <w:numFmt w:val="bullet"/>
      <w:lvlText w:val=""/>
      <w:lvlJc w:val="left"/>
      <w:pPr>
        <w:tabs>
          <w:tab w:val="num" w:pos="5760"/>
        </w:tabs>
        <w:ind w:left="5760" w:hanging="360"/>
      </w:pPr>
      <w:rPr>
        <w:rFonts w:ascii="Symbol" w:hAnsi="Symbol" w:hint="default"/>
      </w:rPr>
    </w:lvl>
    <w:lvl w:ilvl="8" w:tplc="0824ADE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71C5C42"/>
    <w:multiLevelType w:val="multilevel"/>
    <w:tmpl w:val="3BCA25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D3582C"/>
    <w:multiLevelType w:val="hybridMultilevel"/>
    <w:tmpl w:val="68E470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89B5C2A"/>
    <w:multiLevelType w:val="hybridMultilevel"/>
    <w:tmpl w:val="F120EBD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FE32AE6"/>
    <w:multiLevelType w:val="hybridMultilevel"/>
    <w:tmpl w:val="FBD475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49A0886"/>
    <w:multiLevelType w:val="hybridMultilevel"/>
    <w:tmpl w:val="35243244"/>
    <w:lvl w:ilvl="0" w:tplc="04130001">
      <w:start w:val="1"/>
      <w:numFmt w:val="bullet"/>
      <w:lvlText w:val=""/>
      <w:lvlJc w:val="left"/>
      <w:pPr>
        <w:ind w:left="720" w:hanging="360"/>
      </w:pPr>
      <w:rPr>
        <w:rFonts w:ascii="Symbol" w:hAnsi="Symbol" w:hint="default"/>
      </w:rPr>
    </w:lvl>
    <w:lvl w:ilvl="1" w:tplc="C50AAC06">
      <w:numFmt w:val="bullet"/>
      <w:lvlText w:val="•"/>
      <w:lvlJc w:val="left"/>
      <w:pPr>
        <w:ind w:left="1440" w:hanging="360"/>
      </w:pPr>
      <w:rPr>
        <w:rFonts w:ascii="Avenir Next LT Pro Light" w:eastAsiaTheme="minorHAnsi" w:hAnsi="Avenir Next LT Pro Light"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F47D19"/>
    <w:multiLevelType w:val="hybridMultilevel"/>
    <w:tmpl w:val="00D061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8F82597"/>
    <w:multiLevelType w:val="hybridMultilevel"/>
    <w:tmpl w:val="B1163D66"/>
    <w:lvl w:ilvl="0" w:tplc="04130005">
      <w:start w:val="1"/>
      <w:numFmt w:val="bullet"/>
      <w:lvlText w:val=""/>
      <w:lvlJc w:val="left"/>
      <w:pPr>
        <w:ind w:left="720" w:hanging="360"/>
      </w:pPr>
      <w:rPr>
        <w:rFonts w:ascii="Wingdings" w:hAnsi="Wingdings" w:hint="default"/>
      </w:rPr>
    </w:lvl>
    <w:lvl w:ilvl="1" w:tplc="DA580D84">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9BF6D0E"/>
    <w:multiLevelType w:val="hybridMultilevel"/>
    <w:tmpl w:val="E014F0D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FE25246"/>
    <w:multiLevelType w:val="hybridMultilevel"/>
    <w:tmpl w:val="82CEB0E8"/>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1"/>
  </w:num>
  <w:num w:numId="2">
    <w:abstractNumId w:val="38"/>
  </w:num>
  <w:num w:numId="3">
    <w:abstractNumId w:val="5"/>
  </w:num>
  <w:num w:numId="4">
    <w:abstractNumId w:val="20"/>
  </w:num>
  <w:num w:numId="5">
    <w:abstractNumId w:val="13"/>
  </w:num>
  <w:num w:numId="6">
    <w:abstractNumId w:val="28"/>
  </w:num>
  <w:num w:numId="7">
    <w:abstractNumId w:val="31"/>
  </w:num>
  <w:num w:numId="8">
    <w:abstractNumId w:val="0"/>
  </w:num>
  <w:num w:numId="9">
    <w:abstractNumId w:val="32"/>
  </w:num>
  <w:num w:numId="10">
    <w:abstractNumId w:val="27"/>
  </w:num>
  <w:num w:numId="11">
    <w:abstractNumId w:val="17"/>
  </w:num>
  <w:num w:numId="12">
    <w:abstractNumId w:val="22"/>
  </w:num>
  <w:num w:numId="13">
    <w:abstractNumId w:val="40"/>
  </w:num>
  <w:num w:numId="14">
    <w:abstractNumId w:val="39"/>
  </w:num>
  <w:num w:numId="15">
    <w:abstractNumId w:val="3"/>
  </w:num>
  <w:num w:numId="16">
    <w:abstractNumId w:val="30"/>
  </w:num>
  <w:num w:numId="17">
    <w:abstractNumId w:val="11"/>
  </w:num>
  <w:num w:numId="18">
    <w:abstractNumId w:val="35"/>
  </w:num>
  <w:num w:numId="19">
    <w:abstractNumId w:val="23"/>
  </w:num>
  <w:num w:numId="20">
    <w:abstractNumId w:val="14"/>
  </w:num>
  <w:num w:numId="21">
    <w:abstractNumId w:val="6"/>
  </w:num>
  <w:num w:numId="22">
    <w:abstractNumId w:val="25"/>
  </w:num>
  <w:num w:numId="23">
    <w:abstractNumId w:val="16"/>
  </w:num>
  <w:num w:numId="24">
    <w:abstractNumId w:val="26"/>
  </w:num>
  <w:num w:numId="25">
    <w:abstractNumId w:val="4"/>
  </w:num>
  <w:num w:numId="26">
    <w:abstractNumId w:val="24"/>
  </w:num>
  <w:num w:numId="27">
    <w:abstractNumId w:val="10"/>
  </w:num>
  <w:num w:numId="28">
    <w:abstractNumId w:val="8"/>
  </w:num>
  <w:num w:numId="29">
    <w:abstractNumId w:val="7"/>
  </w:num>
  <w:num w:numId="30">
    <w:abstractNumId w:val="36"/>
  </w:num>
  <w:num w:numId="31">
    <w:abstractNumId w:val="9"/>
  </w:num>
  <w:num w:numId="32">
    <w:abstractNumId w:val="15"/>
  </w:num>
  <w:num w:numId="33">
    <w:abstractNumId w:val="1"/>
  </w:num>
  <w:num w:numId="34">
    <w:abstractNumId w:val="19"/>
  </w:num>
  <w:num w:numId="35">
    <w:abstractNumId w:val="37"/>
  </w:num>
  <w:num w:numId="36">
    <w:abstractNumId w:val="33"/>
  </w:num>
  <w:num w:numId="37">
    <w:abstractNumId w:val="2"/>
  </w:num>
  <w:num w:numId="38">
    <w:abstractNumId w:val="18"/>
  </w:num>
  <w:num w:numId="39">
    <w:abstractNumId w:val="21"/>
  </w:num>
  <w:num w:numId="40">
    <w:abstractNumId w:val="34"/>
  </w:num>
  <w:num w:numId="41">
    <w:abstractNumId w:val="12"/>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AA"/>
    <w:rsid w:val="00012BE9"/>
    <w:rsid w:val="000131EB"/>
    <w:rsid w:val="00022094"/>
    <w:rsid w:val="00026B27"/>
    <w:rsid w:val="00034662"/>
    <w:rsid w:val="00036005"/>
    <w:rsid w:val="0004119A"/>
    <w:rsid w:val="000434D0"/>
    <w:rsid w:val="00056AFF"/>
    <w:rsid w:val="00064856"/>
    <w:rsid w:val="000830FD"/>
    <w:rsid w:val="000859B3"/>
    <w:rsid w:val="000859D5"/>
    <w:rsid w:val="00090840"/>
    <w:rsid w:val="00092A25"/>
    <w:rsid w:val="000A1A5A"/>
    <w:rsid w:val="000A62D9"/>
    <w:rsid w:val="000A7F15"/>
    <w:rsid w:val="000D0D25"/>
    <w:rsid w:val="000F54BB"/>
    <w:rsid w:val="00107B65"/>
    <w:rsid w:val="00107E1D"/>
    <w:rsid w:val="0011364E"/>
    <w:rsid w:val="00121836"/>
    <w:rsid w:val="0012708A"/>
    <w:rsid w:val="001333E7"/>
    <w:rsid w:val="00135950"/>
    <w:rsid w:val="001409D9"/>
    <w:rsid w:val="00144E03"/>
    <w:rsid w:val="00146F41"/>
    <w:rsid w:val="001472BB"/>
    <w:rsid w:val="00150096"/>
    <w:rsid w:val="001564F6"/>
    <w:rsid w:val="00156FEB"/>
    <w:rsid w:val="00172D50"/>
    <w:rsid w:val="00185484"/>
    <w:rsid w:val="001958FC"/>
    <w:rsid w:val="001A495C"/>
    <w:rsid w:val="001C1E4F"/>
    <w:rsid w:val="001C35A2"/>
    <w:rsid w:val="001C40D4"/>
    <w:rsid w:val="001C4CA9"/>
    <w:rsid w:val="001C565C"/>
    <w:rsid w:val="001C5F3C"/>
    <w:rsid w:val="001D4FCF"/>
    <w:rsid w:val="001E3B5D"/>
    <w:rsid w:val="001F035C"/>
    <w:rsid w:val="00210E5B"/>
    <w:rsid w:val="0021569A"/>
    <w:rsid w:val="002174F4"/>
    <w:rsid w:val="00221414"/>
    <w:rsid w:val="00240963"/>
    <w:rsid w:val="00245F62"/>
    <w:rsid w:val="002503AB"/>
    <w:rsid w:val="00251887"/>
    <w:rsid w:val="0025414E"/>
    <w:rsid w:val="00254777"/>
    <w:rsid w:val="0026306A"/>
    <w:rsid w:val="0028238B"/>
    <w:rsid w:val="002B59DB"/>
    <w:rsid w:val="002B6188"/>
    <w:rsid w:val="002C10C3"/>
    <w:rsid w:val="002C3282"/>
    <w:rsid w:val="002C4C6B"/>
    <w:rsid w:val="002C764C"/>
    <w:rsid w:val="002D1D14"/>
    <w:rsid w:val="002D4F2D"/>
    <w:rsid w:val="002E2FEA"/>
    <w:rsid w:val="002F24A4"/>
    <w:rsid w:val="002F4D03"/>
    <w:rsid w:val="00300610"/>
    <w:rsid w:val="00301197"/>
    <w:rsid w:val="0030342F"/>
    <w:rsid w:val="0031321E"/>
    <w:rsid w:val="003203C4"/>
    <w:rsid w:val="00322632"/>
    <w:rsid w:val="003258C3"/>
    <w:rsid w:val="00335CA4"/>
    <w:rsid w:val="00341714"/>
    <w:rsid w:val="003513E9"/>
    <w:rsid w:val="00353DF2"/>
    <w:rsid w:val="00356682"/>
    <w:rsid w:val="00357799"/>
    <w:rsid w:val="00360D24"/>
    <w:rsid w:val="00362D8C"/>
    <w:rsid w:val="00366147"/>
    <w:rsid w:val="003662EA"/>
    <w:rsid w:val="00367066"/>
    <w:rsid w:val="00367BCF"/>
    <w:rsid w:val="00372318"/>
    <w:rsid w:val="003809CF"/>
    <w:rsid w:val="0038720D"/>
    <w:rsid w:val="003953B4"/>
    <w:rsid w:val="00397CCD"/>
    <w:rsid w:val="003A249D"/>
    <w:rsid w:val="003B129C"/>
    <w:rsid w:val="003B17E5"/>
    <w:rsid w:val="003B26F3"/>
    <w:rsid w:val="003B7CBD"/>
    <w:rsid w:val="003C4F1A"/>
    <w:rsid w:val="003C58BF"/>
    <w:rsid w:val="003C5D6E"/>
    <w:rsid w:val="003C64FA"/>
    <w:rsid w:val="003C6DB7"/>
    <w:rsid w:val="003C6E6E"/>
    <w:rsid w:val="003C7720"/>
    <w:rsid w:val="003D2442"/>
    <w:rsid w:val="003D31DB"/>
    <w:rsid w:val="003E40BD"/>
    <w:rsid w:val="003E6E44"/>
    <w:rsid w:val="003F1C37"/>
    <w:rsid w:val="003F7EE1"/>
    <w:rsid w:val="00405595"/>
    <w:rsid w:val="00420B49"/>
    <w:rsid w:val="00421BA1"/>
    <w:rsid w:val="0042268E"/>
    <w:rsid w:val="00443B02"/>
    <w:rsid w:val="0044473A"/>
    <w:rsid w:val="00453760"/>
    <w:rsid w:val="004554B4"/>
    <w:rsid w:val="00456D71"/>
    <w:rsid w:val="00461AFD"/>
    <w:rsid w:val="0046207D"/>
    <w:rsid w:val="00470F30"/>
    <w:rsid w:val="00477807"/>
    <w:rsid w:val="004803CD"/>
    <w:rsid w:val="0048312F"/>
    <w:rsid w:val="00491ECC"/>
    <w:rsid w:val="0049430E"/>
    <w:rsid w:val="004A2A5F"/>
    <w:rsid w:val="004A502F"/>
    <w:rsid w:val="004A5600"/>
    <w:rsid w:val="004C0B35"/>
    <w:rsid w:val="004C31E6"/>
    <w:rsid w:val="004C79D8"/>
    <w:rsid w:val="004D10D2"/>
    <w:rsid w:val="004D3DBA"/>
    <w:rsid w:val="004D6015"/>
    <w:rsid w:val="004D696F"/>
    <w:rsid w:val="004E1C6F"/>
    <w:rsid w:val="004E471B"/>
    <w:rsid w:val="004E5903"/>
    <w:rsid w:val="004E69EC"/>
    <w:rsid w:val="00505336"/>
    <w:rsid w:val="00513A1E"/>
    <w:rsid w:val="00522368"/>
    <w:rsid w:val="005348C1"/>
    <w:rsid w:val="00546DDE"/>
    <w:rsid w:val="005524AA"/>
    <w:rsid w:val="0056589A"/>
    <w:rsid w:val="00575A12"/>
    <w:rsid w:val="00582C20"/>
    <w:rsid w:val="00583409"/>
    <w:rsid w:val="0058501E"/>
    <w:rsid w:val="0059015F"/>
    <w:rsid w:val="00594BFA"/>
    <w:rsid w:val="00597102"/>
    <w:rsid w:val="005A31FC"/>
    <w:rsid w:val="005B2957"/>
    <w:rsid w:val="005B72BB"/>
    <w:rsid w:val="005B7E89"/>
    <w:rsid w:val="005E24FA"/>
    <w:rsid w:val="005E4FD5"/>
    <w:rsid w:val="005E5448"/>
    <w:rsid w:val="005F1861"/>
    <w:rsid w:val="00600507"/>
    <w:rsid w:val="0060424D"/>
    <w:rsid w:val="00605E47"/>
    <w:rsid w:val="00623046"/>
    <w:rsid w:val="0062517A"/>
    <w:rsid w:val="006302B6"/>
    <w:rsid w:val="006333FB"/>
    <w:rsid w:val="0063529A"/>
    <w:rsid w:val="006475DE"/>
    <w:rsid w:val="006545FF"/>
    <w:rsid w:val="00661448"/>
    <w:rsid w:val="00661AF9"/>
    <w:rsid w:val="00664895"/>
    <w:rsid w:val="00676535"/>
    <w:rsid w:val="00677C1D"/>
    <w:rsid w:val="0068677F"/>
    <w:rsid w:val="00692FC2"/>
    <w:rsid w:val="006A56AC"/>
    <w:rsid w:val="006A6498"/>
    <w:rsid w:val="006A685A"/>
    <w:rsid w:val="006B01BE"/>
    <w:rsid w:val="006B1A80"/>
    <w:rsid w:val="006C00F6"/>
    <w:rsid w:val="006C1F69"/>
    <w:rsid w:val="006D01F6"/>
    <w:rsid w:val="006D0D20"/>
    <w:rsid w:val="006D1CD3"/>
    <w:rsid w:val="006D2D08"/>
    <w:rsid w:val="006E54C2"/>
    <w:rsid w:val="006F23B7"/>
    <w:rsid w:val="006F2874"/>
    <w:rsid w:val="0070340E"/>
    <w:rsid w:val="0070774E"/>
    <w:rsid w:val="007154D6"/>
    <w:rsid w:val="00720556"/>
    <w:rsid w:val="007315A7"/>
    <w:rsid w:val="007335E3"/>
    <w:rsid w:val="00735F21"/>
    <w:rsid w:val="0074097A"/>
    <w:rsid w:val="00741108"/>
    <w:rsid w:val="007431BE"/>
    <w:rsid w:val="00750B33"/>
    <w:rsid w:val="00752876"/>
    <w:rsid w:val="0076470C"/>
    <w:rsid w:val="00766127"/>
    <w:rsid w:val="00766427"/>
    <w:rsid w:val="00774FDA"/>
    <w:rsid w:val="0077525A"/>
    <w:rsid w:val="0077703D"/>
    <w:rsid w:val="00781904"/>
    <w:rsid w:val="007868C3"/>
    <w:rsid w:val="007920ED"/>
    <w:rsid w:val="0079322E"/>
    <w:rsid w:val="00793699"/>
    <w:rsid w:val="007953D7"/>
    <w:rsid w:val="007957A3"/>
    <w:rsid w:val="00797AC4"/>
    <w:rsid w:val="00797BBC"/>
    <w:rsid w:val="00797EB4"/>
    <w:rsid w:val="007A0666"/>
    <w:rsid w:val="007B2D28"/>
    <w:rsid w:val="007C1F17"/>
    <w:rsid w:val="007C6CCC"/>
    <w:rsid w:val="007E5C8B"/>
    <w:rsid w:val="007F1664"/>
    <w:rsid w:val="007F647C"/>
    <w:rsid w:val="007F781C"/>
    <w:rsid w:val="007F7E52"/>
    <w:rsid w:val="00802575"/>
    <w:rsid w:val="00802EBA"/>
    <w:rsid w:val="008073B0"/>
    <w:rsid w:val="00807FA2"/>
    <w:rsid w:val="00810F7A"/>
    <w:rsid w:val="008163FB"/>
    <w:rsid w:val="00817E14"/>
    <w:rsid w:val="00822CB7"/>
    <w:rsid w:val="008272EF"/>
    <w:rsid w:val="00840849"/>
    <w:rsid w:val="008417D1"/>
    <w:rsid w:val="00856145"/>
    <w:rsid w:val="008572A8"/>
    <w:rsid w:val="00857CAA"/>
    <w:rsid w:val="00861CF5"/>
    <w:rsid w:val="0087287B"/>
    <w:rsid w:val="00873A19"/>
    <w:rsid w:val="00873B25"/>
    <w:rsid w:val="00874812"/>
    <w:rsid w:val="00880C7A"/>
    <w:rsid w:val="00882FF3"/>
    <w:rsid w:val="00884BF7"/>
    <w:rsid w:val="00885B4E"/>
    <w:rsid w:val="008B3DA9"/>
    <w:rsid w:val="008B793F"/>
    <w:rsid w:val="008B7F4E"/>
    <w:rsid w:val="008C3E4F"/>
    <w:rsid w:val="008C60E2"/>
    <w:rsid w:val="008D7789"/>
    <w:rsid w:val="008E2BFE"/>
    <w:rsid w:val="008E51E2"/>
    <w:rsid w:val="008F0A2B"/>
    <w:rsid w:val="008F17B0"/>
    <w:rsid w:val="008F1B43"/>
    <w:rsid w:val="008F35C7"/>
    <w:rsid w:val="008F3CB8"/>
    <w:rsid w:val="009032DE"/>
    <w:rsid w:val="00906544"/>
    <w:rsid w:val="00910EA3"/>
    <w:rsid w:val="009142F0"/>
    <w:rsid w:val="00917F5D"/>
    <w:rsid w:val="0092235E"/>
    <w:rsid w:val="00934371"/>
    <w:rsid w:val="00934A51"/>
    <w:rsid w:val="00942781"/>
    <w:rsid w:val="009442A9"/>
    <w:rsid w:val="00947A0C"/>
    <w:rsid w:val="009513F4"/>
    <w:rsid w:val="00952441"/>
    <w:rsid w:val="0095499A"/>
    <w:rsid w:val="00955B99"/>
    <w:rsid w:val="0096231C"/>
    <w:rsid w:val="00974ADE"/>
    <w:rsid w:val="00975D9B"/>
    <w:rsid w:val="00975EE9"/>
    <w:rsid w:val="0098002E"/>
    <w:rsid w:val="00991BA3"/>
    <w:rsid w:val="00993496"/>
    <w:rsid w:val="0099478E"/>
    <w:rsid w:val="009970A9"/>
    <w:rsid w:val="009A0CBB"/>
    <w:rsid w:val="009A2A52"/>
    <w:rsid w:val="009A455B"/>
    <w:rsid w:val="009A6CC3"/>
    <w:rsid w:val="009B6F4C"/>
    <w:rsid w:val="009C1186"/>
    <w:rsid w:val="009D15FA"/>
    <w:rsid w:val="009D622F"/>
    <w:rsid w:val="009F2932"/>
    <w:rsid w:val="009F7E51"/>
    <w:rsid w:val="00A04607"/>
    <w:rsid w:val="00A05DC1"/>
    <w:rsid w:val="00A06534"/>
    <w:rsid w:val="00A16E87"/>
    <w:rsid w:val="00A44DD3"/>
    <w:rsid w:val="00A46724"/>
    <w:rsid w:val="00A538D1"/>
    <w:rsid w:val="00A572A1"/>
    <w:rsid w:val="00A630B5"/>
    <w:rsid w:val="00A72130"/>
    <w:rsid w:val="00A73CF0"/>
    <w:rsid w:val="00A74689"/>
    <w:rsid w:val="00A749F0"/>
    <w:rsid w:val="00A815C0"/>
    <w:rsid w:val="00A83964"/>
    <w:rsid w:val="00A84E1C"/>
    <w:rsid w:val="00A9291B"/>
    <w:rsid w:val="00A93A17"/>
    <w:rsid w:val="00AA60AC"/>
    <w:rsid w:val="00AA7D44"/>
    <w:rsid w:val="00AB2B06"/>
    <w:rsid w:val="00AB2FAC"/>
    <w:rsid w:val="00AB5EDF"/>
    <w:rsid w:val="00AC2DC6"/>
    <w:rsid w:val="00AC7DFA"/>
    <w:rsid w:val="00AD496E"/>
    <w:rsid w:val="00AE0D17"/>
    <w:rsid w:val="00AE4865"/>
    <w:rsid w:val="00B008F4"/>
    <w:rsid w:val="00B0216E"/>
    <w:rsid w:val="00B036F8"/>
    <w:rsid w:val="00B1572C"/>
    <w:rsid w:val="00B33D29"/>
    <w:rsid w:val="00B35B30"/>
    <w:rsid w:val="00B40E58"/>
    <w:rsid w:val="00B41102"/>
    <w:rsid w:val="00B51708"/>
    <w:rsid w:val="00B523E4"/>
    <w:rsid w:val="00B53387"/>
    <w:rsid w:val="00B5468F"/>
    <w:rsid w:val="00B54EEA"/>
    <w:rsid w:val="00B62A94"/>
    <w:rsid w:val="00B62CFF"/>
    <w:rsid w:val="00B64738"/>
    <w:rsid w:val="00B67322"/>
    <w:rsid w:val="00B67ACF"/>
    <w:rsid w:val="00B700EE"/>
    <w:rsid w:val="00B71AFB"/>
    <w:rsid w:val="00B71BAF"/>
    <w:rsid w:val="00B72D81"/>
    <w:rsid w:val="00B73BBA"/>
    <w:rsid w:val="00B7476A"/>
    <w:rsid w:val="00B760E2"/>
    <w:rsid w:val="00B812A3"/>
    <w:rsid w:val="00B90E4F"/>
    <w:rsid w:val="00BA12AE"/>
    <w:rsid w:val="00BB1270"/>
    <w:rsid w:val="00BB1583"/>
    <w:rsid w:val="00BB2BC0"/>
    <w:rsid w:val="00BB4DA4"/>
    <w:rsid w:val="00BC53FA"/>
    <w:rsid w:val="00BC54C8"/>
    <w:rsid w:val="00BD020A"/>
    <w:rsid w:val="00BD0E15"/>
    <w:rsid w:val="00BE3D5F"/>
    <w:rsid w:val="00BE6FA0"/>
    <w:rsid w:val="00C0320F"/>
    <w:rsid w:val="00C13095"/>
    <w:rsid w:val="00C20D6B"/>
    <w:rsid w:val="00C26B0F"/>
    <w:rsid w:val="00C33F41"/>
    <w:rsid w:val="00C3461E"/>
    <w:rsid w:val="00C41F3F"/>
    <w:rsid w:val="00C442F8"/>
    <w:rsid w:val="00C501D2"/>
    <w:rsid w:val="00C65665"/>
    <w:rsid w:val="00C65698"/>
    <w:rsid w:val="00C705BC"/>
    <w:rsid w:val="00C73AAD"/>
    <w:rsid w:val="00C73E4D"/>
    <w:rsid w:val="00C75111"/>
    <w:rsid w:val="00C75D51"/>
    <w:rsid w:val="00C76666"/>
    <w:rsid w:val="00C76FFD"/>
    <w:rsid w:val="00C84F65"/>
    <w:rsid w:val="00C91A22"/>
    <w:rsid w:val="00CA4A8E"/>
    <w:rsid w:val="00CA618E"/>
    <w:rsid w:val="00CA64D5"/>
    <w:rsid w:val="00CB00CD"/>
    <w:rsid w:val="00CB364A"/>
    <w:rsid w:val="00CB5004"/>
    <w:rsid w:val="00CB657D"/>
    <w:rsid w:val="00CD52E3"/>
    <w:rsid w:val="00CD63EE"/>
    <w:rsid w:val="00CE0108"/>
    <w:rsid w:val="00CE45F6"/>
    <w:rsid w:val="00CE56CA"/>
    <w:rsid w:val="00CF2A7B"/>
    <w:rsid w:val="00CF3FD6"/>
    <w:rsid w:val="00CF7EBC"/>
    <w:rsid w:val="00D0532C"/>
    <w:rsid w:val="00D13CFE"/>
    <w:rsid w:val="00D17138"/>
    <w:rsid w:val="00D22914"/>
    <w:rsid w:val="00D2731B"/>
    <w:rsid w:val="00D44C33"/>
    <w:rsid w:val="00D51D32"/>
    <w:rsid w:val="00D60BD5"/>
    <w:rsid w:val="00D776E7"/>
    <w:rsid w:val="00D77852"/>
    <w:rsid w:val="00D77E13"/>
    <w:rsid w:val="00D809AC"/>
    <w:rsid w:val="00D86A3F"/>
    <w:rsid w:val="00D87A08"/>
    <w:rsid w:val="00D87C48"/>
    <w:rsid w:val="00D90742"/>
    <w:rsid w:val="00D90FC0"/>
    <w:rsid w:val="00D93054"/>
    <w:rsid w:val="00D937B0"/>
    <w:rsid w:val="00D94FA0"/>
    <w:rsid w:val="00D9753B"/>
    <w:rsid w:val="00D97942"/>
    <w:rsid w:val="00DA5BA7"/>
    <w:rsid w:val="00DB2862"/>
    <w:rsid w:val="00DB3A24"/>
    <w:rsid w:val="00DC2FA2"/>
    <w:rsid w:val="00DC3DFE"/>
    <w:rsid w:val="00DC6D96"/>
    <w:rsid w:val="00DD55EF"/>
    <w:rsid w:val="00DD72D2"/>
    <w:rsid w:val="00DE5D2C"/>
    <w:rsid w:val="00DF63E4"/>
    <w:rsid w:val="00E04722"/>
    <w:rsid w:val="00E05315"/>
    <w:rsid w:val="00E07A8F"/>
    <w:rsid w:val="00E26EE5"/>
    <w:rsid w:val="00E3511E"/>
    <w:rsid w:val="00E41256"/>
    <w:rsid w:val="00E51012"/>
    <w:rsid w:val="00E5587F"/>
    <w:rsid w:val="00E573BF"/>
    <w:rsid w:val="00E72DD3"/>
    <w:rsid w:val="00E75E62"/>
    <w:rsid w:val="00E765E6"/>
    <w:rsid w:val="00E81A5B"/>
    <w:rsid w:val="00E833B7"/>
    <w:rsid w:val="00E869E4"/>
    <w:rsid w:val="00E87901"/>
    <w:rsid w:val="00E966B6"/>
    <w:rsid w:val="00E969A6"/>
    <w:rsid w:val="00EC20DF"/>
    <w:rsid w:val="00EC22DC"/>
    <w:rsid w:val="00EE0527"/>
    <w:rsid w:val="00EE0871"/>
    <w:rsid w:val="00EE5ABC"/>
    <w:rsid w:val="00F06D44"/>
    <w:rsid w:val="00F1088C"/>
    <w:rsid w:val="00F1193C"/>
    <w:rsid w:val="00F33BC7"/>
    <w:rsid w:val="00F34211"/>
    <w:rsid w:val="00F34B5D"/>
    <w:rsid w:val="00F34D50"/>
    <w:rsid w:val="00F372A4"/>
    <w:rsid w:val="00F40419"/>
    <w:rsid w:val="00F40711"/>
    <w:rsid w:val="00F40C27"/>
    <w:rsid w:val="00F45C1C"/>
    <w:rsid w:val="00F535B4"/>
    <w:rsid w:val="00F54595"/>
    <w:rsid w:val="00F61FC6"/>
    <w:rsid w:val="00F82F07"/>
    <w:rsid w:val="00F86AB9"/>
    <w:rsid w:val="00F95981"/>
    <w:rsid w:val="00FA1BE9"/>
    <w:rsid w:val="00FA5E3B"/>
    <w:rsid w:val="00FB18FF"/>
    <w:rsid w:val="00FB39F1"/>
    <w:rsid w:val="00FB4347"/>
    <w:rsid w:val="00FC05BF"/>
    <w:rsid w:val="00FC1C27"/>
    <w:rsid w:val="00FC356E"/>
    <w:rsid w:val="00FC3CDF"/>
    <w:rsid w:val="00FD3C0E"/>
    <w:rsid w:val="00FD45E6"/>
    <w:rsid w:val="00FD79BB"/>
    <w:rsid w:val="00FE4BF5"/>
    <w:rsid w:val="00FF53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83639"/>
  <w15:docId w15:val="{FDF2ACDF-8959-48A8-8CEA-64DF69A5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B2BC0"/>
    <w:rPr>
      <w:rFonts w:ascii="Bahnschrift" w:hAnsi="Bahnschrift"/>
      <w:sz w:val="20"/>
    </w:rPr>
  </w:style>
  <w:style w:type="paragraph" w:styleId="Kop1">
    <w:name w:val="heading 1"/>
    <w:basedOn w:val="Standaard"/>
    <w:next w:val="Standaard"/>
    <w:link w:val="Kop1Char"/>
    <w:uiPriority w:val="4"/>
    <w:qFormat/>
    <w:rsid w:val="00FD45E6"/>
    <w:pPr>
      <w:keepNext/>
      <w:keepLines/>
      <w:pageBreakBefore/>
      <w:numPr>
        <w:numId w:val="1"/>
      </w:numPr>
      <w:spacing w:after="360" w:line="300" w:lineRule="atLeast"/>
      <w:outlineLvl w:val="0"/>
    </w:pPr>
    <w:rPr>
      <w:rFonts w:ascii="Franklin Gothic Book" w:eastAsiaTheme="majorEastAsia" w:hAnsi="Franklin Gothic Book" w:cstheme="majorBidi"/>
      <w:sz w:val="40"/>
      <w:szCs w:val="32"/>
    </w:rPr>
  </w:style>
  <w:style w:type="paragraph" w:styleId="Kop2">
    <w:name w:val="heading 2"/>
    <w:basedOn w:val="Standaard"/>
    <w:next w:val="Standaard"/>
    <w:link w:val="Kop2Char"/>
    <w:uiPriority w:val="5"/>
    <w:qFormat/>
    <w:rsid w:val="00FD45E6"/>
    <w:pPr>
      <w:keepNext/>
      <w:keepLines/>
      <w:numPr>
        <w:ilvl w:val="1"/>
        <w:numId w:val="1"/>
      </w:numPr>
      <w:spacing w:before="420" w:after="120" w:line="300" w:lineRule="atLeast"/>
      <w:outlineLvl w:val="1"/>
    </w:pPr>
    <w:rPr>
      <w:rFonts w:ascii="Franklin Gothic Book" w:eastAsiaTheme="majorEastAsia" w:hAnsi="Franklin Gothic Book" w:cstheme="majorBidi"/>
      <w:sz w:val="28"/>
      <w:szCs w:val="26"/>
    </w:rPr>
  </w:style>
  <w:style w:type="paragraph" w:styleId="Kop3">
    <w:name w:val="heading 3"/>
    <w:basedOn w:val="Standaard"/>
    <w:next w:val="Standaard"/>
    <w:link w:val="Kop3Char"/>
    <w:uiPriority w:val="6"/>
    <w:qFormat/>
    <w:rsid w:val="00FD45E6"/>
    <w:pPr>
      <w:keepNext/>
      <w:keepLines/>
      <w:numPr>
        <w:ilvl w:val="2"/>
        <w:numId w:val="1"/>
      </w:numPr>
      <w:spacing w:before="360" w:after="40" w:line="300" w:lineRule="atLeast"/>
      <w:outlineLvl w:val="2"/>
    </w:pPr>
    <w:rPr>
      <w:rFonts w:ascii="Franklin Gothic Book" w:eastAsiaTheme="majorEastAsia" w:hAnsi="Franklin Gothic Book" w:cstheme="majorBidi"/>
      <w:b/>
      <w:szCs w:val="24"/>
    </w:rPr>
  </w:style>
  <w:style w:type="paragraph" w:styleId="Kop4">
    <w:name w:val="heading 4"/>
    <w:basedOn w:val="Standaard"/>
    <w:next w:val="Standaard"/>
    <w:link w:val="Kop4Char"/>
    <w:uiPriority w:val="7"/>
    <w:qFormat/>
    <w:rsid w:val="00FD45E6"/>
    <w:pPr>
      <w:keepNext/>
      <w:keepLines/>
      <w:numPr>
        <w:ilvl w:val="3"/>
        <w:numId w:val="1"/>
      </w:numPr>
      <w:spacing w:before="300" w:after="40" w:line="300" w:lineRule="atLeast"/>
      <w:outlineLvl w:val="3"/>
    </w:pPr>
    <w:rPr>
      <w:rFonts w:ascii="Franklin Gothic Book" w:eastAsiaTheme="majorEastAsia" w:hAnsi="Franklin Gothic Book" w:cstheme="majorBidi"/>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D1C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D1CD3"/>
    <w:rPr>
      <w:rFonts w:ascii="Bahnschrift" w:hAnsi="Bahnschrift"/>
      <w:sz w:val="20"/>
    </w:rPr>
  </w:style>
  <w:style w:type="paragraph" w:styleId="Voettekst">
    <w:name w:val="footer"/>
    <w:basedOn w:val="Standaard"/>
    <w:link w:val="VoettekstChar"/>
    <w:uiPriority w:val="99"/>
    <w:unhideWhenUsed/>
    <w:rsid w:val="006D1C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D1CD3"/>
    <w:rPr>
      <w:rFonts w:ascii="Bahnschrift" w:hAnsi="Bahnschrift"/>
      <w:sz w:val="20"/>
    </w:rPr>
  </w:style>
  <w:style w:type="character" w:customStyle="1" w:styleId="Kop1Char">
    <w:name w:val="Kop 1 Char"/>
    <w:basedOn w:val="Standaardalinea-lettertype"/>
    <w:link w:val="Kop1"/>
    <w:uiPriority w:val="4"/>
    <w:rsid w:val="00FD45E6"/>
    <w:rPr>
      <w:rFonts w:ascii="Franklin Gothic Book" w:eastAsiaTheme="majorEastAsia" w:hAnsi="Franklin Gothic Book" w:cstheme="majorBidi"/>
      <w:sz w:val="40"/>
      <w:szCs w:val="32"/>
    </w:rPr>
  </w:style>
  <w:style w:type="character" w:customStyle="1" w:styleId="Kop2Char">
    <w:name w:val="Kop 2 Char"/>
    <w:basedOn w:val="Standaardalinea-lettertype"/>
    <w:link w:val="Kop2"/>
    <w:uiPriority w:val="5"/>
    <w:rsid w:val="00FD45E6"/>
    <w:rPr>
      <w:rFonts w:ascii="Franklin Gothic Book" w:eastAsiaTheme="majorEastAsia" w:hAnsi="Franklin Gothic Book" w:cstheme="majorBidi"/>
      <w:sz w:val="28"/>
      <w:szCs w:val="26"/>
    </w:rPr>
  </w:style>
  <w:style w:type="character" w:customStyle="1" w:styleId="Kop3Char">
    <w:name w:val="Kop 3 Char"/>
    <w:basedOn w:val="Standaardalinea-lettertype"/>
    <w:link w:val="Kop3"/>
    <w:uiPriority w:val="6"/>
    <w:rsid w:val="00FD45E6"/>
    <w:rPr>
      <w:rFonts w:ascii="Franklin Gothic Book" w:eastAsiaTheme="majorEastAsia" w:hAnsi="Franklin Gothic Book" w:cstheme="majorBidi"/>
      <w:b/>
      <w:sz w:val="20"/>
      <w:szCs w:val="24"/>
    </w:rPr>
  </w:style>
  <w:style w:type="character" w:customStyle="1" w:styleId="Kop4Char">
    <w:name w:val="Kop 4 Char"/>
    <w:basedOn w:val="Standaardalinea-lettertype"/>
    <w:link w:val="Kop4"/>
    <w:uiPriority w:val="7"/>
    <w:rsid w:val="00FD45E6"/>
    <w:rPr>
      <w:rFonts w:ascii="Franklin Gothic Book" w:eastAsiaTheme="majorEastAsia" w:hAnsi="Franklin Gothic Book" w:cstheme="majorBidi"/>
      <w:i/>
      <w:iCs/>
      <w:sz w:val="20"/>
    </w:rPr>
  </w:style>
  <w:style w:type="paragraph" w:styleId="Voetnoottekst">
    <w:name w:val="footnote text"/>
    <w:basedOn w:val="Standaard"/>
    <w:link w:val="VoetnoottekstChar"/>
    <w:uiPriority w:val="99"/>
    <w:unhideWhenUsed/>
    <w:rsid w:val="00FD45E6"/>
    <w:pPr>
      <w:spacing w:after="0" w:line="240" w:lineRule="auto"/>
    </w:pPr>
    <w:rPr>
      <w:rFonts w:ascii="Franklin Gothic Book" w:hAnsi="Franklin Gothic Book"/>
      <w:szCs w:val="20"/>
    </w:rPr>
  </w:style>
  <w:style w:type="character" w:customStyle="1" w:styleId="VoetnoottekstChar">
    <w:name w:val="Voetnoottekst Char"/>
    <w:basedOn w:val="Standaardalinea-lettertype"/>
    <w:link w:val="Voetnoottekst"/>
    <w:uiPriority w:val="99"/>
    <w:rsid w:val="00FD45E6"/>
    <w:rPr>
      <w:rFonts w:ascii="Franklin Gothic Book" w:hAnsi="Franklin Gothic Book"/>
      <w:sz w:val="20"/>
      <w:szCs w:val="20"/>
    </w:rPr>
  </w:style>
  <w:style w:type="character" w:styleId="Voetnootmarkering">
    <w:name w:val="footnote reference"/>
    <w:basedOn w:val="Standaardalinea-lettertype"/>
    <w:uiPriority w:val="99"/>
    <w:unhideWhenUsed/>
    <w:rsid w:val="00FD45E6"/>
    <w:rPr>
      <w:vertAlign w:val="superscript"/>
    </w:rPr>
  </w:style>
  <w:style w:type="paragraph" w:styleId="Lijstalinea">
    <w:name w:val="List Paragraph"/>
    <w:basedOn w:val="Standaard"/>
    <w:link w:val="LijstalineaChar"/>
    <w:uiPriority w:val="34"/>
    <w:qFormat/>
    <w:rsid w:val="0076470C"/>
    <w:pPr>
      <w:spacing w:after="0" w:line="300" w:lineRule="atLeast"/>
      <w:ind w:left="720"/>
      <w:contextualSpacing/>
    </w:pPr>
    <w:rPr>
      <w:rFonts w:ascii="Franklin Gothic Book" w:hAnsi="Franklin Gothic Book"/>
    </w:rPr>
  </w:style>
  <w:style w:type="character" w:customStyle="1" w:styleId="LijstalineaChar">
    <w:name w:val="Lijstalinea Char"/>
    <w:basedOn w:val="Standaardalinea-lettertype"/>
    <w:link w:val="Lijstalinea"/>
    <w:uiPriority w:val="34"/>
    <w:rsid w:val="0076470C"/>
    <w:rPr>
      <w:rFonts w:ascii="Franklin Gothic Book" w:hAnsi="Franklin Gothic Book"/>
      <w:sz w:val="20"/>
    </w:rPr>
  </w:style>
  <w:style w:type="table" w:styleId="Tabelraster">
    <w:name w:val="Table Grid"/>
    <w:basedOn w:val="Standaardtabel"/>
    <w:uiPriority w:val="39"/>
    <w:rsid w:val="00DC2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92FC2"/>
    <w:rPr>
      <w:color w:val="0563C1" w:themeColor="hyperlink"/>
      <w:u w:val="single"/>
    </w:rPr>
  </w:style>
  <w:style w:type="character" w:customStyle="1" w:styleId="Onopgelostemelding1">
    <w:name w:val="Onopgeloste melding1"/>
    <w:basedOn w:val="Standaardalinea-lettertype"/>
    <w:uiPriority w:val="99"/>
    <w:semiHidden/>
    <w:unhideWhenUsed/>
    <w:rsid w:val="00692FC2"/>
    <w:rPr>
      <w:color w:val="605E5C"/>
      <w:shd w:val="clear" w:color="auto" w:fill="E1DFDD"/>
    </w:rPr>
  </w:style>
  <w:style w:type="paragraph" w:styleId="Ballontekst">
    <w:name w:val="Balloon Text"/>
    <w:basedOn w:val="Standaard"/>
    <w:link w:val="BallontekstChar"/>
    <w:uiPriority w:val="99"/>
    <w:semiHidden/>
    <w:unhideWhenUsed/>
    <w:rsid w:val="00546DD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6DDE"/>
    <w:rPr>
      <w:rFonts w:ascii="Segoe UI" w:hAnsi="Segoe UI" w:cs="Segoe UI"/>
      <w:sz w:val="18"/>
      <w:szCs w:val="18"/>
    </w:rPr>
  </w:style>
  <w:style w:type="character" w:styleId="Verwijzingopmerking">
    <w:name w:val="annotation reference"/>
    <w:basedOn w:val="Standaardalinea-lettertype"/>
    <w:uiPriority w:val="99"/>
    <w:semiHidden/>
    <w:unhideWhenUsed/>
    <w:rsid w:val="00F34211"/>
    <w:rPr>
      <w:sz w:val="16"/>
      <w:szCs w:val="16"/>
    </w:rPr>
  </w:style>
  <w:style w:type="paragraph" w:styleId="Tekstopmerking">
    <w:name w:val="annotation text"/>
    <w:basedOn w:val="Standaard"/>
    <w:link w:val="TekstopmerkingChar"/>
    <w:uiPriority w:val="99"/>
    <w:semiHidden/>
    <w:unhideWhenUsed/>
    <w:rsid w:val="00F34211"/>
    <w:pPr>
      <w:spacing w:line="240" w:lineRule="auto"/>
    </w:pPr>
    <w:rPr>
      <w:szCs w:val="20"/>
    </w:rPr>
  </w:style>
  <w:style w:type="character" w:customStyle="1" w:styleId="TekstopmerkingChar">
    <w:name w:val="Tekst opmerking Char"/>
    <w:basedOn w:val="Standaardalinea-lettertype"/>
    <w:link w:val="Tekstopmerking"/>
    <w:uiPriority w:val="99"/>
    <w:semiHidden/>
    <w:rsid w:val="00F34211"/>
    <w:rPr>
      <w:rFonts w:ascii="Bahnschrift" w:hAnsi="Bahnschrift"/>
      <w:sz w:val="20"/>
      <w:szCs w:val="20"/>
    </w:rPr>
  </w:style>
  <w:style w:type="paragraph" w:styleId="Onderwerpvanopmerking">
    <w:name w:val="annotation subject"/>
    <w:basedOn w:val="Tekstopmerking"/>
    <w:next w:val="Tekstopmerking"/>
    <w:link w:val="OnderwerpvanopmerkingChar"/>
    <w:uiPriority w:val="99"/>
    <w:semiHidden/>
    <w:unhideWhenUsed/>
    <w:rsid w:val="00F34211"/>
    <w:rPr>
      <w:b/>
      <w:bCs/>
    </w:rPr>
  </w:style>
  <w:style w:type="character" w:customStyle="1" w:styleId="OnderwerpvanopmerkingChar">
    <w:name w:val="Onderwerp van opmerking Char"/>
    <w:basedOn w:val="TekstopmerkingChar"/>
    <w:link w:val="Onderwerpvanopmerking"/>
    <w:uiPriority w:val="99"/>
    <w:semiHidden/>
    <w:rsid w:val="00F34211"/>
    <w:rPr>
      <w:rFonts w:ascii="Bahnschrift" w:hAnsi="Bahnschrift"/>
      <w:b/>
      <w:bCs/>
      <w:sz w:val="20"/>
      <w:szCs w:val="20"/>
    </w:rPr>
  </w:style>
  <w:style w:type="paragraph" w:styleId="Bijschrift">
    <w:name w:val="caption"/>
    <w:basedOn w:val="Standaard"/>
    <w:next w:val="Standaard"/>
    <w:uiPriority w:val="35"/>
    <w:unhideWhenUsed/>
    <w:qFormat/>
    <w:rsid w:val="00360D24"/>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254777"/>
    <w:pPr>
      <w:pageBreakBefore w:val="0"/>
      <w:numPr>
        <w:numId w:val="0"/>
      </w:numPr>
      <w:spacing w:before="240" w:after="0" w:line="259" w:lineRule="auto"/>
      <w:outlineLvl w:val="9"/>
    </w:pPr>
    <w:rPr>
      <w:rFonts w:asciiTheme="majorHAnsi" w:hAnsiTheme="majorHAnsi"/>
      <w:color w:val="2F5496" w:themeColor="accent1" w:themeShade="BF"/>
      <w:sz w:val="32"/>
      <w:lang w:eastAsia="nl-NL"/>
    </w:rPr>
  </w:style>
  <w:style w:type="paragraph" w:styleId="Inhopg2">
    <w:name w:val="toc 2"/>
    <w:basedOn w:val="Standaard"/>
    <w:next w:val="Standaard"/>
    <w:autoRedefine/>
    <w:uiPriority w:val="39"/>
    <w:unhideWhenUsed/>
    <w:rsid w:val="00254777"/>
    <w:pPr>
      <w:spacing w:after="100"/>
      <w:ind w:left="200"/>
    </w:pPr>
  </w:style>
  <w:style w:type="paragraph" w:styleId="Inhopg1">
    <w:name w:val="toc 1"/>
    <w:basedOn w:val="Standaard"/>
    <w:next w:val="Standaard"/>
    <w:autoRedefine/>
    <w:uiPriority w:val="39"/>
    <w:unhideWhenUsed/>
    <w:rsid w:val="00254777"/>
    <w:pPr>
      <w:spacing w:after="100"/>
    </w:pPr>
  </w:style>
  <w:style w:type="paragraph" w:styleId="Revisie">
    <w:name w:val="Revision"/>
    <w:hidden/>
    <w:uiPriority w:val="99"/>
    <w:semiHidden/>
    <w:rsid w:val="00BD020A"/>
    <w:pPr>
      <w:spacing w:after="0" w:line="240" w:lineRule="auto"/>
    </w:pPr>
    <w:rPr>
      <w:rFonts w:ascii="Bahnschrift" w:hAnsi="Bahnschrift"/>
      <w:sz w:val="20"/>
    </w:rPr>
  </w:style>
  <w:style w:type="character" w:styleId="Onopgelostemelding">
    <w:name w:val="Unresolved Mention"/>
    <w:basedOn w:val="Standaardalinea-lettertype"/>
    <w:uiPriority w:val="99"/>
    <w:semiHidden/>
    <w:unhideWhenUsed/>
    <w:rsid w:val="00594BFA"/>
    <w:rPr>
      <w:color w:val="605E5C"/>
      <w:shd w:val="clear" w:color="auto" w:fill="E1DFDD"/>
    </w:rPr>
  </w:style>
  <w:style w:type="paragraph" w:styleId="Normaalweb">
    <w:name w:val="Normal (Web)"/>
    <w:basedOn w:val="Standaard"/>
    <w:uiPriority w:val="99"/>
    <w:unhideWhenUsed/>
    <w:rsid w:val="00CE010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2178">
      <w:bodyDiv w:val="1"/>
      <w:marLeft w:val="0"/>
      <w:marRight w:val="0"/>
      <w:marTop w:val="0"/>
      <w:marBottom w:val="0"/>
      <w:divBdr>
        <w:top w:val="none" w:sz="0" w:space="0" w:color="auto"/>
        <w:left w:val="none" w:sz="0" w:space="0" w:color="auto"/>
        <w:bottom w:val="none" w:sz="0" w:space="0" w:color="auto"/>
        <w:right w:val="none" w:sz="0" w:space="0" w:color="auto"/>
      </w:divBdr>
    </w:div>
    <w:div w:id="267273197">
      <w:bodyDiv w:val="1"/>
      <w:marLeft w:val="0"/>
      <w:marRight w:val="0"/>
      <w:marTop w:val="0"/>
      <w:marBottom w:val="0"/>
      <w:divBdr>
        <w:top w:val="none" w:sz="0" w:space="0" w:color="auto"/>
        <w:left w:val="none" w:sz="0" w:space="0" w:color="auto"/>
        <w:bottom w:val="none" w:sz="0" w:space="0" w:color="auto"/>
        <w:right w:val="none" w:sz="0" w:space="0" w:color="auto"/>
      </w:divBdr>
    </w:div>
    <w:div w:id="667906332">
      <w:bodyDiv w:val="1"/>
      <w:marLeft w:val="0"/>
      <w:marRight w:val="0"/>
      <w:marTop w:val="0"/>
      <w:marBottom w:val="0"/>
      <w:divBdr>
        <w:top w:val="none" w:sz="0" w:space="0" w:color="auto"/>
        <w:left w:val="none" w:sz="0" w:space="0" w:color="auto"/>
        <w:bottom w:val="none" w:sz="0" w:space="0" w:color="auto"/>
        <w:right w:val="none" w:sz="0" w:space="0" w:color="auto"/>
      </w:divBdr>
    </w:div>
    <w:div w:id="1218249374">
      <w:bodyDiv w:val="1"/>
      <w:marLeft w:val="0"/>
      <w:marRight w:val="0"/>
      <w:marTop w:val="0"/>
      <w:marBottom w:val="0"/>
      <w:divBdr>
        <w:top w:val="none" w:sz="0" w:space="0" w:color="auto"/>
        <w:left w:val="none" w:sz="0" w:space="0" w:color="auto"/>
        <w:bottom w:val="none" w:sz="0" w:space="0" w:color="auto"/>
        <w:right w:val="none" w:sz="0" w:space="0" w:color="auto"/>
      </w:divBdr>
    </w:div>
    <w:div w:id="1405300732">
      <w:bodyDiv w:val="1"/>
      <w:marLeft w:val="0"/>
      <w:marRight w:val="0"/>
      <w:marTop w:val="0"/>
      <w:marBottom w:val="0"/>
      <w:divBdr>
        <w:top w:val="none" w:sz="0" w:space="0" w:color="auto"/>
        <w:left w:val="none" w:sz="0" w:space="0" w:color="auto"/>
        <w:bottom w:val="none" w:sz="0" w:space="0" w:color="auto"/>
        <w:right w:val="none" w:sz="0" w:space="0" w:color="auto"/>
      </w:divBdr>
    </w:div>
    <w:div w:id="1625387492">
      <w:bodyDiv w:val="1"/>
      <w:marLeft w:val="0"/>
      <w:marRight w:val="0"/>
      <w:marTop w:val="0"/>
      <w:marBottom w:val="0"/>
      <w:divBdr>
        <w:top w:val="none" w:sz="0" w:space="0" w:color="auto"/>
        <w:left w:val="none" w:sz="0" w:space="0" w:color="auto"/>
        <w:bottom w:val="none" w:sz="0" w:space="0" w:color="auto"/>
        <w:right w:val="none" w:sz="0" w:space="0" w:color="auto"/>
      </w:divBdr>
    </w:div>
    <w:div w:id="185329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s://agendalaadinfrastructuur.nl/organisatie/werkgroepen+nal/1773523.aspx?t=Fysieke-veiligheid-en-cyber-security" TargetMode="Externa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gendalaadinfrastructuur.pleio.nl/cms/view/48251252/aantal-laadpunten" TargetMode="External"/><Relationship Id="rId25" Type="http://schemas.openxmlformats.org/officeDocument/2006/relationships/hyperlink" Target="https://hurenenladen.nl/wp-content/uploads/2020/11/huren_en_laden_eindrapport_v06mc_def.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diagramData" Target="diagrams/data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diagramColors" Target="diagrams/colors1.xm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HOSTING.LAN\Share\Decisio_Share\Onze%20Documenten\Projecten\1189.%20Provincie%20Noord-Holland_MRA-E%20-%20secretariaat%20werkgroep%20NAL\Regionale%20visie%20laadinfrastructuur%20MRA-E\ontwikkeling%20ev%20cbs.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OSTING.LAN\Share\Decisio_Share\Onze%20Documenten\Projecten\1189.%20Provincie%20Noord-Holland_MRA-E%20-%20secretariaat%20werkgroep%20NAL\Regionale%20visie%20laadinfrastructuur%20MRA-E\grafiek%20huidige%20laadpunt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Ontwikkeling elektrische personenauto's</a:t>
            </a:r>
          </a:p>
        </c:rich>
      </c:tx>
      <c:overlay val="0"/>
      <c:spPr>
        <a:noFill/>
        <a:ln>
          <a:noFill/>
        </a:ln>
        <a:effectLst/>
      </c:spPr>
    </c:title>
    <c:autoTitleDeleted val="0"/>
    <c:plotArea>
      <c:layout/>
      <c:areaChart>
        <c:grouping val="stacked"/>
        <c:varyColors val="0"/>
        <c:ser>
          <c:idx val="0"/>
          <c:order val="0"/>
          <c:tx>
            <c:strRef>
              <c:f>'ontwikkeling ev cbs'!$G$1</c:f>
              <c:strCache>
                <c:ptCount val="1"/>
                <c:pt idx="0">
                  <c:v>BEV (Battery Electric Vehicle)</c:v>
                </c:pt>
              </c:strCache>
            </c:strRef>
          </c:tx>
          <c:spPr>
            <a:pattFill prst="pct50">
              <a:fgClr>
                <a:srgbClr val="009FE3"/>
              </a:fgClr>
              <a:bgClr>
                <a:schemeClr val="bg1"/>
              </a:bgClr>
            </a:pattFill>
            <a:ln>
              <a:noFill/>
            </a:ln>
            <a:effectLst/>
          </c:spPr>
          <c:cat>
            <c:strRef>
              <c:f>'ontwikkeling ev cbs'!$F$2:$F$6</c:f>
              <c:strCache>
                <c:ptCount val="5"/>
                <c:pt idx="0">
                  <c:v>2016</c:v>
                </c:pt>
                <c:pt idx="1">
                  <c:v>2017</c:v>
                </c:pt>
                <c:pt idx="2">
                  <c:v>2018</c:v>
                </c:pt>
                <c:pt idx="3">
                  <c:v>2019</c:v>
                </c:pt>
                <c:pt idx="4">
                  <c:v>2020 (aug)</c:v>
                </c:pt>
              </c:strCache>
            </c:strRef>
          </c:cat>
          <c:val>
            <c:numRef>
              <c:f>'ontwikkeling ev cbs'!$G$2:$G$6</c:f>
              <c:numCache>
                <c:formatCode>_ * #,##0_ ;_ * \-#,##0_ ;_ * "-"??_ ;_ @_ </c:formatCode>
                <c:ptCount val="5"/>
                <c:pt idx="0">
                  <c:v>13105</c:v>
                </c:pt>
                <c:pt idx="1">
                  <c:v>21115</c:v>
                </c:pt>
                <c:pt idx="2">
                  <c:v>44984</c:v>
                </c:pt>
                <c:pt idx="3">
                  <c:v>107536</c:v>
                </c:pt>
                <c:pt idx="4">
                  <c:v>131000</c:v>
                </c:pt>
              </c:numCache>
            </c:numRef>
          </c:val>
          <c:extLst>
            <c:ext xmlns:c16="http://schemas.microsoft.com/office/drawing/2014/chart" uri="{C3380CC4-5D6E-409C-BE32-E72D297353CC}">
              <c16:uniqueId val="{00000000-E14A-47DB-9293-805F433B95DE}"/>
            </c:ext>
          </c:extLst>
        </c:ser>
        <c:ser>
          <c:idx val="1"/>
          <c:order val="1"/>
          <c:tx>
            <c:strRef>
              <c:f>'ontwikkeling ev cbs'!$H$1</c:f>
              <c:strCache>
                <c:ptCount val="1"/>
                <c:pt idx="0">
                  <c:v>PHEV (Plug-in Hybride Electric Vehicle)</c:v>
                </c:pt>
              </c:strCache>
            </c:strRef>
          </c:tx>
          <c:spPr>
            <a:solidFill>
              <a:srgbClr val="009FE3"/>
            </a:solidFill>
            <a:ln>
              <a:noFill/>
            </a:ln>
            <a:effectLst/>
          </c:spPr>
          <c:cat>
            <c:strRef>
              <c:f>'ontwikkeling ev cbs'!$F$2:$F$6</c:f>
              <c:strCache>
                <c:ptCount val="5"/>
                <c:pt idx="0">
                  <c:v>2016</c:v>
                </c:pt>
                <c:pt idx="1">
                  <c:v>2017</c:v>
                </c:pt>
                <c:pt idx="2">
                  <c:v>2018</c:v>
                </c:pt>
                <c:pt idx="3">
                  <c:v>2019</c:v>
                </c:pt>
                <c:pt idx="4">
                  <c:v>2020 (aug)</c:v>
                </c:pt>
              </c:strCache>
            </c:strRef>
          </c:cat>
          <c:val>
            <c:numRef>
              <c:f>'ontwikkeling ev cbs'!$H$2:$H$6</c:f>
              <c:numCache>
                <c:formatCode>_ * #,##0_ ;_ * \-#,##0_ ;_ * "-"??_ ;_ @_ </c:formatCode>
                <c:ptCount val="5"/>
                <c:pt idx="0">
                  <c:v>98903</c:v>
                </c:pt>
                <c:pt idx="1">
                  <c:v>98217</c:v>
                </c:pt>
                <c:pt idx="2">
                  <c:v>97702</c:v>
                </c:pt>
                <c:pt idx="3">
                  <c:v>95885</c:v>
                </c:pt>
                <c:pt idx="4">
                  <c:v>102431</c:v>
                </c:pt>
              </c:numCache>
            </c:numRef>
          </c:val>
          <c:extLst>
            <c:ext xmlns:c16="http://schemas.microsoft.com/office/drawing/2014/chart" uri="{C3380CC4-5D6E-409C-BE32-E72D297353CC}">
              <c16:uniqueId val="{00000001-E14A-47DB-9293-805F433B95DE}"/>
            </c:ext>
          </c:extLst>
        </c:ser>
        <c:dLbls>
          <c:showLegendKey val="0"/>
          <c:showVal val="0"/>
          <c:showCatName val="0"/>
          <c:showSerName val="0"/>
          <c:showPercent val="0"/>
          <c:showBubbleSize val="0"/>
        </c:dLbls>
        <c:axId val="65025536"/>
        <c:axId val="65027072"/>
      </c:areaChart>
      <c:catAx>
        <c:axId val="65025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027072"/>
        <c:crosses val="autoZero"/>
        <c:auto val="1"/>
        <c:lblAlgn val="ctr"/>
        <c:lblOffset val="100"/>
        <c:noMultiLvlLbl val="0"/>
      </c:catAx>
      <c:valAx>
        <c:axId val="65027072"/>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0255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mn-lt"/>
                <a:ea typeface="+mn-ea"/>
                <a:cs typeface="+mn-cs"/>
              </a:defRPr>
            </a:pPr>
            <a:r>
              <a:rPr lang="nl-NL" sz="1400"/>
              <a:t>Aantal laadpunten naar type</a:t>
            </a:r>
          </a:p>
        </c:rich>
      </c:tx>
      <c:overlay val="0"/>
      <c:spPr>
        <a:noFill/>
        <a:ln>
          <a:noFill/>
        </a:ln>
        <a:effectLst/>
      </c:spPr>
    </c:title>
    <c:autoTitleDeleted val="0"/>
    <c:plotArea>
      <c:layout>
        <c:manualLayout>
          <c:layoutTarget val="inner"/>
          <c:xMode val="edge"/>
          <c:yMode val="edge"/>
          <c:x val="0.10952559055118111"/>
          <c:y val="0.16595078299776286"/>
          <c:w val="0.85991885389326339"/>
          <c:h val="0.6188888301713964"/>
        </c:manualLayout>
      </c:layout>
      <c:barChart>
        <c:barDir val="col"/>
        <c:grouping val="clustered"/>
        <c:varyColors val="0"/>
        <c:ser>
          <c:idx val="0"/>
          <c:order val="0"/>
          <c:tx>
            <c:strRef>
              <c:f>Blad1!$A$27</c:f>
              <c:strCache>
                <c:ptCount val="1"/>
                <c:pt idx="0">
                  <c:v>Publiek</c:v>
                </c:pt>
              </c:strCache>
            </c:strRef>
          </c:tx>
          <c:spPr>
            <a:solidFill>
              <a:srgbClr val="009FE3"/>
            </a:solidFill>
            <a:ln>
              <a:solidFill>
                <a:srgbClr val="009FE3"/>
              </a:solidFill>
            </a:ln>
            <a:effectLst/>
          </c:spPr>
          <c:invertIfNegative val="0"/>
          <c:dLbls>
            <c:spPr>
              <a:noFill/>
              <a:ln>
                <a:solidFill>
                  <a:schemeClr val="tx1"/>
                </a:solid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Blad1!$B$1</c:f>
              <c:numCache>
                <c:formatCode>General</c:formatCode>
                <c:ptCount val="1"/>
              </c:numCache>
            </c:numRef>
          </c:cat>
          <c:val>
            <c:numRef>
              <c:f>Blad1!$B$27</c:f>
              <c:numCache>
                <c:formatCode>_ * #,##0_ ;_ * \-#,##0_ ;_ * "-"??_ ;_ @_ </c:formatCode>
                <c:ptCount val="1"/>
                <c:pt idx="0">
                  <c:v>8970</c:v>
                </c:pt>
              </c:numCache>
            </c:numRef>
          </c:val>
          <c:extLst>
            <c:ext xmlns:c16="http://schemas.microsoft.com/office/drawing/2014/chart" uri="{C3380CC4-5D6E-409C-BE32-E72D297353CC}">
              <c16:uniqueId val="{00000000-F8C8-4209-AAB1-D7EF421468B6}"/>
            </c:ext>
          </c:extLst>
        </c:ser>
        <c:ser>
          <c:idx val="1"/>
          <c:order val="1"/>
          <c:tx>
            <c:strRef>
              <c:f>Blad1!$A$28</c:f>
              <c:strCache>
                <c:ptCount val="1"/>
                <c:pt idx="0">
                  <c:v>Snel</c:v>
                </c:pt>
              </c:strCache>
            </c:strRef>
          </c:tx>
          <c:spPr>
            <a:pattFill prst="pct50">
              <a:fgClr>
                <a:srgbClr val="009FE3"/>
              </a:fgClr>
              <a:bgClr>
                <a:schemeClr val="bg1"/>
              </a:bgClr>
            </a:pattFill>
            <a:ln>
              <a:noFill/>
            </a:ln>
            <a:effectLst/>
          </c:spPr>
          <c:invertIfNegative val="0"/>
          <c:dLbls>
            <c:spPr>
              <a:noFill/>
              <a:ln>
                <a:solidFill>
                  <a:schemeClr val="tx1"/>
                </a:solid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Blad1!$B$1</c:f>
              <c:numCache>
                <c:formatCode>General</c:formatCode>
                <c:ptCount val="1"/>
              </c:numCache>
            </c:numRef>
          </c:cat>
          <c:val>
            <c:numRef>
              <c:f>Blad1!$B$28</c:f>
              <c:numCache>
                <c:formatCode>_ * #,##0_ ;_ * \-#,##0_ ;_ * "-"??_ ;_ @_ </c:formatCode>
                <c:ptCount val="1"/>
                <c:pt idx="0">
                  <c:v>450</c:v>
                </c:pt>
              </c:numCache>
            </c:numRef>
          </c:val>
          <c:extLst>
            <c:ext xmlns:c16="http://schemas.microsoft.com/office/drawing/2014/chart" uri="{C3380CC4-5D6E-409C-BE32-E72D297353CC}">
              <c16:uniqueId val="{00000001-F8C8-4209-AAB1-D7EF421468B6}"/>
            </c:ext>
          </c:extLst>
        </c:ser>
        <c:ser>
          <c:idx val="2"/>
          <c:order val="2"/>
          <c:tx>
            <c:strRef>
              <c:f>Blad1!$A$29</c:f>
              <c:strCache>
                <c:ptCount val="1"/>
                <c:pt idx="0">
                  <c:v>Semi-publiek</c:v>
                </c:pt>
              </c:strCache>
            </c:strRef>
          </c:tx>
          <c:spPr>
            <a:pattFill prst="wdUpDiag">
              <a:fgClr>
                <a:srgbClr val="009FE3"/>
              </a:fgClr>
              <a:bgClr>
                <a:schemeClr val="bg1"/>
              </a:bgClr>
            </a:pattFill>
            <a:ln>
              <a:noFill/>
            </a:ln>
            <a:effectLst/>
          </c:spPr>
          <c:invertIfNegative val="0"/>
          <c:dLbls>
            <c:spPr>
              <a:noFill/>
              <a:ln>
                <a:solidFill>
                  <a:schemeClr val="tx1"/>
                </a:solid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Blad1!$B$1</c:f>
              <c:numCache>
                <c:formatCode>General</c:formatCode>
                <c:ptCount val="1"/>
              </c:numCache>
            </c:numRef>
          </c:cat>
          <c:val>
            <c:numRef>
              <c:f>Blad1!$B$29</c:f>
              <c:numCache>
                <c:formatCode>_ * #,##0_ ;_ * \-#,##0_ ;_ * "-"??_ ;_ @_ </c:formatCode>
                <c:ptCount val="1"/>
                <c:pt idx="0">
                  <c:v>4970</c:v>
                </c:pt>
              </c:numCache>
            </c:numRef>
          </c:val>
          <c:extLst>
            <c:ext xmlns:c16="http://schemas.microsoft.com/office/drawing/2014/chart" uri="{C3380CC4-5D6E-409C-BE32-E72D297353CC}">
              <c16:uniqueId val="{00000002-F8C8-4209-AAB1-D7EF421468B6}"/>
            </c:ext>
          </c:extLst>
        </c:ser>
        <c:dLbls>
          <c:dLblPos val="outEnd"/>
          <c:showLegendKey val="0"/>
          <c:showVal val="1"/>
          <c:showCatName val="0"/>
          <c:showSerName val="0"/>
          <c:showPercent val="0"/>
          <c:showBubbleSize val="0"/>
        </c:dLbls>
        <c:gapWidth val="219"/>
        <c:overlap val="-27"/>
        <c:axId val="170659200"/>
        <c:axId val="170693760"/>
      </c:barChart>
      <c:catAx>
        <c:axId val="17065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nl-NL"/>
          </a:p>
        </c:txPr>
        <c:crossAx val="170693760"/>
        <c:crosses val="autoZero"/>
        <c:auto val="1"/>
        <c:lblAlgn val="ctr"/>
        <c:lblOffset val="100"/>
        <c:noMultiLvlLbl val="0"/>
      </c:catAx>
      <c:valAx>
        <c:axId val="17069376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nl-NL"/>
          </a:p>
        </c:txPr>
        <c:crossAx val="170659200"/>
        <c:crosses val="autoZero"/>
        <c:crossBetween val="between"/>
      </c:valAx>
      <c:spPr>
        <a:noFill/>
        <a:ln>
          <a:noFill/>
        </a:ln>
        <a:effectLst/>
      </c:spPr>
    </c:plotArea>
    <c:legend>
      <c:legendPos val="b"/>
      <c:layout>
        <c:manualLayout>
          <c:xMode val="edge"/>
          <c:yMode val="edge"/>
          <c:x val="0.27558070866141737"/>
          <c:y val="0.80816501964100129"/>
          <c:w val="0.53217191601049874"/>
          <c:h val="0.18736070742834993"/>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nl-N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4B16FB-4B3A-1E46-8A5F-54421C7A629F}"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en-US"/>
        </a:p>
      </dgm:t>
    </dgm:pt>
    <dgm:pt modelId="{2B812743-1276-754A-A5E3-FF9015AC0702}">
      <dgm:prSet phldrT="[Text]"/>
      <dgm:spPr>
        <a:xfrm>
          <a:off x="886483" y="1433123"/>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Private laadinfrastructuur</a:t>
          </a:r>
        </a:p>
      </dgm:t>
    </dgm:pt>
    <dgm:pt modelId="{3EF0B62C-A721-F94B-8ACD-8B94BB340661}" type="parTrans" cxnId="{A16AA419-3276-5340-9891-BFA5B3CAF644}">
      <dgm:prSet/>
      <dgm:spPr/>
      <dgm:t>
        <a:bodyPr/>
        <a:lstStyle/>
        <a:p>
          <a:endParaRPr lang="en-US"/>
        </a:p>
      </dgm:t>
    </dgm:pt>
    <dgm:pt modelId="{CB4FEC71-D3E6-804B-AF7C-07C11888FD1A}" type="sibTrans" cxnId="{A16AA419-3276-5340-9891-BFA5B3CAF644}">
      <dgm:prSet/>
      <dgm:spPr/>
      <dgm:t>
        <a:bodyPr/>
        <a:lstStyle/>
        <a:p>
          <a:endParaRPr lang="en-US"/>
        </a:p>
      </dgm:t>
    </dgm:pt>
    <dgm:pt modelId="{693CE63A-878A-2E4A-8805-DC67503AB41B}">
      <dgm:prSet phldrT="[Text]"/>
      <dgm:spPr>
        <a:xfrm>
          <a:off x="1959938" y="220694"/>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Wonen</a:t>
          </a:r>
        </a:p>
      </dgm:t>
    </dgm:pt>
    <dgm:pt modelId="{F65D6D2B-D8D4-EF48-9A14-51BC19728143}" type="parTrans" cxnId="{92139921-90EF-CC4D-A02E-E395A719F207}">
      <dgm:prSet/>
      <dgm:spPr>
        <a:xfrm rot="17051759">
          <a:off x="1181278" y="1009248"/>
          <a:ext cx="1250619" cy="18698"/>
        </a:xfrm>
        <a:custGeom>
          <a:avLst/>
          <a:gdLst/>
          <a:ahLst/>
          <a:cxnLst/>
          <a:rect l="0" t="0" r="0" b="0"/>
          <a:pathLst>
            <a:path>
              <a:moveTo>
                <a:pt x="0" y="9349"/>
              </a:moveTo>
              <a:lnTo>
                <a:pt x="1250619" y="9349"/>
              </a:lnTo>
            </a:path>
          </a:pathLst>
        </a:custGeom>
        <a:noFill/>
        <a:ln w="25400" cap="flat" cmpd="sng" algn="ctr">
          <a:solidFill>
            <a:srgbClr val="3B547B">
              <a:shade val="6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D03AE93F-750D-404D-A37A-990C5A4BA709}" type="sibTrans" cxnId="{92139921-90EF-CC4D-A02E-E395A719F207}">
      <dgm:prSet/>
      <dgm:spPr/>
      <dgm:t>
        <a:bodyPr/>
        <a:lstStyle/>
        <a:p>
          <a:endParaRPr lang="en-US"/>
        </a:p>
      </dgm:t>
    </dgm:pt>
    <dgm:pt modelId="{17B46B2D-7D62-8C4A-B63E-43E810577F90}">
      <dgm:prSet phldrT="[Text]"/>
      <dgm:spPr>
        <a:xfrm>
          <a:off x="3033393" y="253"/>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Op de eigen oprit</a:t>
          </a:r>
        </a:p>
      </dgm:t>
    </dgm:pt>
    <dgm:pt modelId="{76378A76-DEB9-A846-B226-BF6C0BA90B1D}" type="parTrans" cxnId="{4C7B792D-6E72-F24F-B988-428AB1C00AFB}">
      <dgm:prSet/>
      <dgm:spPr>
        <a:xfrm rot="19457599">
          <a:off x="2691190" y="292813"/>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97F6AF9A-9BF2-714A-8EAE-D960CD88DE27}" type="sibTrans" cxnId="{4C7B792D-6E72-F24F-B988-428AB1C00AFB}">
      <dgm:prSet/>
      <dgm:spPr/>
      <dgm:t>
        <a:bodyPr/>
        <a:lstStyle/>
        <a:p>
          <a:endParaRPr lang="en-US"/>
        </a:p>
      </dgm:t>
    </dgm:pt>
    <dgm:pt modelId="{DE00E5E2-ABB0-D14C-A09A-B6C20E37E3B7}">
      <dgm:prSet phldrT="[Text]"/>
      <dgm:spPr>
        <a:xfrm>
          <a:off x="3033393" y="441136"/>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Appartementen-complexen</a:t>
          </a:r>
        </a:p>
      </dgm:t>
    </dgm:pt>
    <dgm:pt modelId="{FE446B9B-B952-8F46-A3CA-35C29A3DA6BF}" type="parTrans" cxnId="{D81924CD-AEFF-EF4D-B4CD-D64A3F72774B}">
      <dgm:prSet/>
      <dgm:spPr>
        <a:xfrm rot="2142401">
          <a:off x="2691190" y="513254"/>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9D5C83DB-91CE-1146-A2F7-B396A92595ED}" type="sibTrans" cxnId="{D81924CD-AEFF-EF4D-B4CD-D64A3F72774B}">
      <dgm:prSet/>
      <dgm:spPr/>
      <dgm:t>
        <a:bodyPr/>
        <a:lstStyle/>
        <a:p>
          <a:endParaRPr lang="en-US"/>
        </a:p>
      </dgm:t>
    </dgm:pt>
    <dgm:pt modelId="{CDC78CC2-FFF8-0144-BD2F-B0055B42CBF4}">
      <dgm:prSet phldrT="[Text]"/>
      <dgm:spPr>
        <a:xfrm>
          <a:off x="1959938" y="1322902"/>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Werken</a:t>
          </a:r>
        </a:p>
      </dgm:t>
    </dgm:pt>
    <dgm:pt modelId="{40483AD3-9445-3445-A5F8-D8559A4AA265}" type="parTrans" cxnId="{C402F857-93EB-234A-9485-1E76CD8035A5}">
      <dgm:prSet/>
      <dgm:spPr>
        <a:xfrm rot="20413970">
          <a:off x="1643635" y="1560352"/>
          <a:ext cx="325905" cy="18698"/>
        </a:xfrm>
        <a:custGeom>
          <a:avLst/>
          <a:gdLst/>
          <a:ahLst/>
          <a:cxnLst/>
          <a:rect l="0" t="0" r="0" b="0"/>
          <a:pathLst>
            <a:path>
              <a:moveTo>
                <a:pt x="0" y="9349"/>
              </a:moveTo>
              <a:lnTo>
                <a:pt x="325905" y="9349"/>
              </a:lnTo>
            </a:path>
          </a:pathLst>
        </a:custGeom>
        <a:noFill/>
        <a:ln w="25400" cap="flat" cmpd="sng" algn="ctr">
          <a:solidFill>
            <a:srgbClr val="3B547B">
              <a:shade val="6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037C171B-A2F1-9848-BA52-E499A0BF97DB}" type="sibTrans" cxnId="{C402F857-93EB-234A-9485-1E76CD8035A5}">
      <dgm:prSet/>
      <dgm:spPr/>
      <dgm:t>
        <a:bodyPr/>
        <a:lstStyle/>
        <a:p>
          <a:endParaRPr lang="en-US"/>
        </a:p>
      </dgm:t>
    </dgm:pt>
    <dgm:pt modelId="{4E5E8EF4-584E-6C47-95A3-D270001EEF83}">
      <dgm:prSet phldrT="[Text]"/>
      <dgm:spPr>
        <a:xfrm>
          <a:off x="3033393" y="1102461"/>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Bedrijven (forenzen)</a:t>
          </a:r>
        </a:p>
      </dgm:t>
    </dgm:pt>
    <dgm:pt modelId="{BC734A64-090D-3F49-BECF-838811714EFD}" type="parTrans" cxnId="{AB13258B-ECC4-A74D-9044-8C10D478ECAD}">
      <dgm:prSet/>
      <dgm:spPr>
        <a:xfrm rot="19457599">
          <a:off x="2691190" y="1395020"/>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AB6E7E43-A297-8440-B751-DBA4E66979F9}" type="sibTrans" cxnId="{AB13258B-ECC4-A74D-9044-8C10D478ECAD}">
      <dgm:prSet/>
      <dgm:spPr/>
      <dgm:t>
        <a:bodyPr/>
        <a:lstStyle/>
        <a:p>
          <a:endParaRPr lang="en-US"/>
        </a:p>
      </dgm:t>
    </dgm:pt>
    <dgm:pt modelId="{EB4B56BD-B357-BB4B-9C61-3FC10C56DDA6}">
      <dgm:prSet/>
      <dgm:spPr>
        <a:xfrm>
          <a:off x="1959938" y="2645552"/>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Bezoeken (semi-publiek)</a:t>
          </a:r>
        </a:p>
      </dgm:t>
    </dgm:pt>
    <dgm:pt modelId="{AB5A9DF8-77CF-C544-837F-D5C163645E4B}" type="parTrans" cxnId="{CE209CF4-53CF-F549-9F79-F441F4C9B454}">
      <dgm:prSet/>
      <dgm:spPr>
        <a:xfrm rot="4548241">
          <a:off x="1181278" y="2221676"/>
          <a:ext cx="1250619" cy="18698"/>
        </a:xfrm>
        <a:custGeom>
          <a:avLst/>
          <a:gdLst/>
          <a:ahLst/>
          <a:cxnLst/>
          <a:rect l="0" t="0" r="0" b="0"/>
          <a:pathLst>
            <a:path>
              <a:moveTo>
                <a:pt x="0" y="9349"/>
              </a:moveTo>
              <a:lnTo>
                <a:pt x="1250619" y="9349"/>
              </a:lnTo>
            </a:path>
          </a:pathLst>
        </a:custGeom>
        <a:noFill/>
        <a:ln w="25400" cap="flat" cmpd="sng" algn="ctr">
          <a:solidFill>
            <a:srgbClr val="3B547B">
              <a:shade val="6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4B39AC2E-ED70-4941-815E-76ED4CA97798}" type="sibTrans" cxnId="{CE209CF4-53CF-F549-9F79-F441F4C9B454}">
      <dgm:prSet/>
      <dgm:spPr/>
      <dgm:t>
        <a:bodyPr/>
        <a:lstStyle/>
        <a:p>
          <a:endParaRPr lang="en-US"/>
        </a:p>
      </dgm:t>
    </dgm:pt>
    <dgm:pt modelId="{996E432C-992C-734D-8870-CECCE84BA46A}">
      <dgm:prSet/>
      <dgm:spPr>
        <a:xfrm>
          <a:off x="4106847" y="1984227"/>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Bedrijven - bezoekerslocaties</a:t>
          </a:r>
        </a:p>
      </dgm:t>
    </dgm:pt>
    <dgm:pt modelId="{4FF5BAC3-A1D8-5F46-8D3B-22FCCB71AEDA}" type="parTrans" cxnId="{A9FCBF92-EBA8-4F4A-AB48-D29173D998BA}">
      <dgm:prSet/>
      <dgm:spPr>
        <a:xfrm rot="19457599">
          <a:off x="3764645" y="2276787"/>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722C4277-12AB-9D42-843F-D4EF487F6307}" type="sibTrans" cxnId="{A9FCBF92-EBA8-4F4A-AB48-D29173D998BA}">
      <dgm:prSet/>
      <dgm:spPr/>
      <dgm:t>
        <a:bodyPr/>
        <a:lstStyle/>
        <a:p>
          <a:endParaRPr lang="en-US"/>
        </a:p>
      </dgm:t>
    </dgm:pt>
    <dgm:pt modelId="{47554A72-4F00-5544-B740-AD32F0ECD4D9}">
      <dgm:prSet phldrT="[Text]"/>
      <dgm:spPr>
        <a:xfrm>
          <a:off x="4106847" y="1322902"/>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Gedeeld terrein</a:t>
          </a:r>
        </a:p>
      </dgm:t>
    </dgm:pt>
    <dgm:pt modelId="{0530E0FF-1B02-8045-B339-BE9E48443857}" type="parTrans" cxnId="{E7B3A9E8-E6C1-7544-A31F-E25498DAB5C4}">
      <dgm:prSet/>
      <dgm:spPr>
        <a:xfrm rot="2142401">
          <a:off x="3764645" y="1395020"/>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F1B52B2E-F452-404F-BF26-05F8F5B1144F}" type="sibTrans" cxnId="{E7B3A9E8-E6C1-7544-A31F-E25498DAB5C4}">
      <dgm:prSet/>
      <dgm:spPr/>
      <dgm:t>
        <a:bodyPr/>
        <a:lstStyle/>
        <a:p>
          <a:endParaRPr lang="en-US"/>
        </a:p>
      </dgm:t>
    </dgm:pt>
    <dgm:pt modelId="{E8C02A9A-4994-9742-BB97-EE0A67A50169}">
      <dgm:prSet phldrT="[Text]"/>
      <dgm:spPr>
        <a:xfrm>
          <a:off x="3033393" y="1543344"/>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Professionele vloot </a:t>
          </a:r>
        </a:p>
      </dgm:t>
    </dgm:pt>
    <dgm:pt modelId="{B169A24D-EB94-2847-A482-B8ABFCC524D7}" type="parTrans" cxnId="{CA65AFA7-AB44-0C46-A437-F6D8C351E219}">
      <dgm:prSet/>
      <dgm:spPr>
        <a:xfrm rot="2142401">
          <a:off x="2691190" y="1615462"/>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49FC5000-67A6-EA40-9B6B-1EE6BCE82059}" type="sibTrans" cxnId="{CA65AFA7-AB44-0C46-A437-F6D8C351E219}">
      <dgm:prSet/>
      <dgm:spPr/>
      <dgm:t>
        <a:bodyPr/>
        <a:lstStyle/>
        <a:p>
          <a:endParaRPr lang="en-US"/>
        </a:p>
      </dgm:t>
    </dgm:pt>
    <dgm:pt modelId="{001A3378-B349-3649-A336-D136A092426C}">
      <dgm:prSet phldrT="[Text]"/>
      <dgm:spPr>
        <a:xfrm>
          <a:off x="4106847" y="882019"/>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Eigen terrein</a:t>
          </a:r>
        </a:p>
      </dgm:t>
    </dgm:pt>
    <dgm:pt modelId="{D4AEBBEA-7136-A645-97B6-4BA63DCAFB35}" type="parTrans" cxnId="{D171AE93-79AD-1845-B40C-A9479CAE8422}">
      <dgm:prSet/>
      <dgm:spPr>
        <a:xfrm rot="19457599">
          <a:off x="3764645" y="1174579"/>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5879AF0D-DACB-7446-B97B-49D9D907401C}" type="sibTrans" cxnId="{D171AE93-79AD-1845-B40C-A9479CAE8422}">
      <dgm:prSet/>
      <dgm:spPr/>
      <dgm:t>
        <a:bodyPr/>
        <a:lstStyle/>
        <a:p>
          <a:endParaRPr lang="en-US"/>
        </a:p>
      </dgm:t>
    </dgm:pt>
    <dgm:pt modelId="{80C7FDE1-444E-3B41-A677-F9C1464478AC}">
      <dgm:prSet/>
      <dgm:spPr>
        <a:xfrm>
          <a:off x="3033393" y="3086435"/>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Publiek</a:t>
          </a:r>
        </a:p>
      </dgm:t>
    </dgm:pt>
    <dgm:pt modelId="{F878B55D-9108-7847-9B48-DD80AF731CB2}" type="parTrans" cxnId="{C02474C3-C505-384D-AF4A-63A301F0FC95}">
      <dgm:prSet/>
      <dgm:spPr>
        <a:xfrm rot="3310531">
          <a:off x="2611507" y="3048332"/>
          <a:ext cx="537069" cy="18698"/>
        </a:xfrm>
        <a:custGeom>
          <a:avLst/>
          <a:gdLst/>
          <a:ahLst/>
          <a:cxnLst/>
          <a:rect l="0" t="0" r="0" b="0"/>
          <a:pathLst>
            <a:path>
              <a:moveTo>
                <a:pt x="0" y="9349"/>
              </a:moveTo>
              <a:lnTo>
                <a:pt x="537069"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F2808F14-B318-A442-A672-A1724DB2AE0F}" type="sibTrans" cxnId="{C02474C3-C505-384D-AF4A-63A301F0FC95}">
      <dgm:prSet/>
      <dgm:spPr/>
      <dgm:t>
        <a:bodyPr/>
        <a:lstStyle/>
        <a:p>
          <a:endParaRPr lang="en-US"/>
        </a:p>
      </dgm:t>
    </dgm:pt>
    <dgm:pt modelId="{78895ECF-A650-E446-8BF7-4313A2937C95}">
      <dgm:prSet/>
      <dgm:spPr>
        <a:xfrm>
          <a:off x="3033393" y="2204669"/>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Privaat</a:t>
          </a:r>
        </a:p>
      </dgm:t>
    </dgm:pt>
    <dgm:pt modelId="{76275359-E04A-AF42-81EC-21714C1BDB93}" type="parTrans" cxnId="{A6591EF0-8F80-5643-AC18-092EAA5FF17E}">
      <dgm:prSet/>
      <dgm:spPr>
        <a:xfrm rot="18289469">
          <a:off x="2611507" y="2607449"/>
          <a:ext cx="537069" cy="18698"/>
        </a:xfrm>
        <a:custGeom>
          <a:avLst/>
          <a:gdLst/>
          <a:ahLst/>
          <a:cxnLst/>
          <a:rect l="0" t="0" r="0" b="0"/>
          <a:pathLst>
            <a:path>
              <a:moveTo>
                <a:pt x="0" y="9349"/>
              </a:moveTo>
              <a:lnTo>
                <a:pt x="537069"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09BD4365-3CAB-3D45-90A7-25ADA6B585E7}" type="sibTrans" cxnId="{A6591EF0-8F80-5643-AC18-092EAA5FF17E}">
      <dgm:prSet/>
      <dgm:spPr/>
      <dgm:t>
        <a:bodyPr/>
        <a:lstStyle/>
        <a:p>
          <a:endParaRPr lang="en-US"/>
        </a:p>
      </dgm:t>
    </dgm:pt>
    <dgm:pt modelId="{9E5E5770-C4FB-EF4F-8B23-02E8FE4A6DF5}">
      <dgm:prSet/>
      <dgm:spPr>
        <a:xfrm>
          <a:off x="4106847" y="2425110"/>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Parkeerterrein/ -garages</a:t>
          </a:r>
        </a:p>
      </dgm:t>
    </dgm:pt>
    <dgm:pt modelId="{16D61F7E-01ED-034C-BEB2-A45F71F63A4A}" type="parTrans" cxnId="{4C1C04A0-3C50-7847-9663-F864CF696EB7}">
      <dgm:prSet/>
      <dgm:spPr>
        <a:xfrm rot="2142401">
          <a:off x="3764645" y="2497228"/>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9DCAA772-8E6D-B54D-B0CB-BD9752B7A961}" type="sibTrans" cxnId="{4C1C04A0-3C50-7847-9663-F864CF696EB7}">
      <dgm:prSet/>
      <dgm:spPr/>
      <dgm:t>
        <a:bodyPr/>
        <a:lstStyle/>
        <a:p>
          <a:endParaRPr lang="en-US"/>
        </a:p>
      </dgm:t>
    </dgm:pt>
    <dgm:pt modelId="{19AE730F-1847-8D45-9C4B-99E60B62C210}">
      <dgm:prSet/>
      <dgm:spPr>
        <a:xfrm>
          <a:off x="4106847" y="2865993"/>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Publieke bezoekerslocaties</a:t>
          </a:r>
        </a:p>
      </dgm:t>
    </dgm:pt>
    <dgm:pt modelId="{22DA63BA-6CC7-4A4F-B649-D09125459DA4}" type="parTrans" cxnId="{02ABE35A-6E59-094B-B8D8-20250AD458EA}">
      <dgm:prSet/>
      <dgm:spPr>
        <a:xfrm rot="19457599">
          <a:off x="3764645" y="3158553"/>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BEF5ECF2-F414-B54A-81AB-5D2B76FBA3CB}" type="sibTrans" cxnId="{02ABE35A-6E59-094B-B8D8-20250AD458EA}">
      <dgm:prSet/>
      <dgm:spPr/>
      <dgm:t>
        <a:bodyPr/>
        <a:lstStyle/>
        <a:p>
          <a:endParaRPr lang="en-US"/>
        </a:p>
      </dgm:t>
    </dgm:pt>
    <dgm:pt modelId="{4571B01E-4007-5149-9FF8-660A94EF8AE0}">
      <dgm:prSet/>
      <dgm:spPr>
        <a:xfrm>
          <a:off x="4106847" y="3306876"/>
          <a:ext cx="766753" cy="383376"/>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orbel"/>
              <a:ea typeface="+mn-ea"/>
              <a:cs typeface="+mn-cs"/>
            </a:rPr>
            <a:t>Parkeertereinen / - garages</a:t>
          </a:r>
        </a:p>
      </dgm:t>
    </dgm:pt>
    <dgm:pt modelId="{87868AD2-5EA9-C34E-9372-72077DC0DA06}" type="parTrans" cxnId="{04BC677B-DAE5-5447-8AD6-312212E5ED6B}">
      <dgm:prSet/>
      <dgm:spPr>
        <a:xfrm rot="2142401">
          <a:off x="3764645" y="3378995"/>
          <a:ext cx="37770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ln>
        <a:effectLst/>
      </dgm:spPr>
      <dgm:t>
        <a:bodyPr/>
        <a:lstStyle/>
        <a:p>
          <a:pPr>
            <a:buNone/>
          </a:pPr>
          <a:endParaRPr lang="en-US">
            <a:solidFill>
              <a:srgbClr val="000000">
                <a:hueOff val="0"/>
                <a:satOff val="0"/>
                <a:lumOff val="0"/>
                <a:alphaOff val="0"/>
              </a:srgbClr>
            </a:solidFill>
            <a:latin typeface="Corbel"/>
            <a:ea typeface="+mn-ea"/>
            <a:cs typeface="+mn-cs"/>
          </a:endParaRPr>
        </a:p>
      </dgm:t>
    </dgm:pt>
    <dgm:pt modelId="{C0E83801-0B6A-084B-AFA8-9D9D6DD56AB7}" type="sibTrans" cxnId="{04BC677B-DAE5-5447-8AD6-312212E5ED6B}">
      <dgm:prSet/>
      <dgm:spPr/>
      <dgm:t>
        <a:bodyPr/>
        <a:lstStyle/>
        <a:p>
          <a:endParaRPr lang="en-US"/>
        </a:p>
      </dgm:t>
    </dgm:pt>
    <dgm:pt modelId="{9BBA83E0-9420-8149-8BD0-9498D67E37A0}" type="pres">
      <dgm:prSet presAssocID="{504B16FB-4B3A-1E46-8A5F-54421C7A629F}" presName="diagram" presStyleCnt="0">
        <dgm:presLayoutVars>
          <dgm:chPref val="1"/>
          <dgm:dir/>
          <dgm:animOne val="branch"/>
          <dgm:animLvl val="lvl"/>
          <dgm:resizeHandles val="exact"/>
        </dgm:presLayoutVars>
      </dgm:prSet>
      <dgm:spPr/>
    </dgm:pt>
    <dgm:pt modelId="{A6E9DB84-6557-C348-B516-15A32C59FA36}" type="pres">
      <dgm:prSet presAssocID="{2B812743-1276-754A-A5E3-FF9015AC0702}" presName="root1" presStyleCnt="0"/>
      <dgm:spPr/>
    </dgm:pt>
    <dgm:pt modelId="{73891813-FB21-914A-A27E-E9A661A61BCF}" type="pres">
      <dgm:prSet presAssocID="{2B812743-1276-754A-A5E3-FF9015AC0702}" presName="LevelOneTextNode" presStyleLbl="node0" presStyleIdx="0" presStyleCnt="1">
        <dgm:presLayoutVars>
          <dgm:chPref val="3"/>
        </dgm:presLayoutVars>
      </dgm:prSet>
      <dgm:spPr/>
    </dgm:pt>
    <dgm:pt modelId="{CB563334-4979-A243-811D-FD16F0BEAAE2}" type="pres">
      <dgm:prSet presAssocID="{2B812743-1276-754A-A5E3-FF9015AC0702}" presName="level2hierChild" presStyleCnt="0"/>
      <dgm:spPr/>
    </dgm:pt>
    <dgm:pt modelId="{2C3ACBC1-D266-7642-B106-11BF4B658192}" type="pres">
      <dgm:prSet presAssocID="{F65D6D2B-D8D4-EF48-9A14-51BC19728143}" presName="conn2-1" presStyleLbl="parChTrans1D2" presStyleIdx="0" presStyleCnt="3"/>
      <dgm:spPr/>
    </dgm:pt>
    <dgm:pt modelId="{63B7DA6D-72B2-0844-816E-40681C8C614C}" type="pres">
      <dgm:prSet presAssocID="{F65D6D2B-D8D4-EF48-9A14-51BC19728143}" presName="connTx" presStyleLbl="parChTrans1D2" presStyleIdx="0" presStyleCnt="3"/>
      <dgm:spPr/>
    </dgm:pt>
    <dgm:pt modelId="{0D15C4DA-D296-9140-B5E7-67CC05BC6F9C}" type="pres">
      <dgm:prSet presAssocID="{693CE63A-878A-2E4A-8805-DC67503AB41B}" presName="root2" presStyleCnt="0"/>
      <dgm:spPr/>
    </dgm:pt>
    <dgm:pt modelId="{87EEDA21-6D20-F247-99E3-9B2B5BE537E9}" type="pres">
      <dgm:prSet presAssocID="{693CE63A-878A-2E4A-8805-DC67503AB41B}" presName="LevelTwoTextNode" presStyleLbl="node2" presStyleIdx="0" presStyleCnt="3">
        <dgm:presLayoutVars>
          <dgm:chPref val="3"/>
        </dgm:presLayoutVars>
      </dgm:prSet>
      <dgm:spPr/>
    </dgm:pt>
    <dgm:pt modelId="{FDDAE7D6-8663-F046-ACD0-1F667D86BA94}" type="pres">
      <dgm:prSet presAssocID="{693CE63A-878A-2E4A-8805-DC67503AB41B}" presName="level3hierChild" presStyleCnt="0"/>
      <dgm:spPr/>
    </dgm:pt>
    <dgm:pt modelId="{BDE4B12F-46EC-B24D-9023-317689B727A9}" type="pres">
      <dgm:prSet presAssocID="{76378A76-DEB9-A846-B226-BF6C0BA90B1D}" presName="conn2-1" presStyleLbl="parChTrans1D3" presStyleIdx="0" presStyleCnt="6"/>
      <dgm:spPr/>
    </dgm:pt>
    <dgm:pt modelId="{46636580-30C2-9E4B-8737-42E71486F281}" type="pres">
      <dgm:prSet presAssocID="{76378A76-DEB9-A846-B226-BF6C0BA90B1D}" presName="connTx" presStyleLbl="parChTrans1D3" presStyleIdx="0" presStyleCnt="6"/>
      <dgm:spPr/>
    </dgm:pt>
    <dgm:pt modelId="{5E864693-A9FF-5241-91BF-AF6D5F790085}" type="pres">
      <dgm:prSet presAssocID="{17B46B2D-7D62-8C4A-B63E-43E810577F90}" presName="root2" presStyleCnt="0"/>
      <dgm:spPr/>
    </dgm:pt>
    <dgm:pt modelId="{904523E3-F7FC-2449-9AE7-1167041C705A}" type="pres">
      <dgm:prSet presAssocID="{17B46B2D-7D62-8C4A-B63E-43E810577F90}" presName="LevelTwoTextNode" presStyleLbl="node3" presStyleIdx="0" presStyleCnt="6">
        <dgm:presLayoutVars>
          <dgm:chPref val="3"/>
        </dgm:presLayoutVars>
      </dgm:prSet>
      <dgm:spPr/>
    </dgm:pt>
    <dgm:pt modelId="{0AD594EA-AEAF-C841-B9C5-B8C3801743CC}" type="pres">
      <dgm:prSet presAssocID="{17B46B2D-7D62-8C4A-B63E-43E810577F90}" presName="level3hierChild" presStyleCnt="0"/>
      <dgm:spPr/>
    </dgm:pt>
    <dgm:pt modelId="{23DE348A-E355-C143-827E-D508415F1929}" type="pres">
      <dgm:prSet presAssocID="{FE446B9B-B952-8F46-A3CA-35C29A3DA6BF}" presName="conn2-1" presStyleLbl="parChTrans1D3" presStyleIdx="1" presStyleCnt="6"/>
      <dgm:spPr/>
    </dgm:pt>
    <dgm:pt modelId="{D0C6BA12-73FE-4041-B981-BA83EDE783B3}" type="pres">
      <dgm:prSet presAssocID="{FE446B9B-B952-8F46-A3CA-35C29A3DA6BF}" presName="connTx" presStyleLbl="parChTrans1D3" presStyleIdx="1" presStyleCnt="6"/>
      <dgm:spPr/>
    </dgm:pt>
    <dgm:pt modelId="{7A7C6021-316E-FB42-9335-FFB819191C89}" type="pres">
      <dgm:prSet presAssocID="{DE00E5E2-ABB0-D14C-A09A-B6C20E37E3B7}" presName="root2" presStyleCnt="0"/>
      <dgm:spPr/>
    </dgm:pt>
    <dgm:pt modelId="{F7DBC643-10F0-AE4C-8034-8F106B56C7A8}" type="pres">
      <dgm:prSet presAssocID="{DE00E5E2-ABB0-D14C-A09A-B6C20E37E3B7}" presName="LevelTwoTextNode" presStyleLbl="node3" presStyleIdx="1" presStyleCnt="6">
        <dgm:presLayoutVars>
          <dgm:chPref val="3"/>
        </dgm:presLayoutVars>
      </dgm:prSet>
      <dgm:spPr/>
    </dgm:pt>
    <dgm:pt modelId="{51981ACB-CB96-9E4E-88B4-000141FE94A6}" type="pres">
      <dgm:prSet presAssocID="{DE00E5E2-ABB0-D14C-A09A-B6C20E37E3B7}" presName="level3hierChild" presStyleCnt="0"/>
      <dgm:spPr/>
    </dgm:pt>
    <dgm:pt modelId="{5A69EA9B-2087-0443-80C3-3A6DF4B2616B}" type="pres">
      <dgm:prSet presAssocID="{40483AD3-9445-3445-A5F8-D8559A4AA265}" presName="conn2-1" presStyleLbl="parChTrans1D2" presStyleIdx="1" presStyleCnt="3"/>
      <dgm:spPr/>
    </dgm:pt>
    <dgm:pt modelId="{F450362B-88E9-364C-BE70-C1DE22624119}" type="pres">
      <dgm:prSet presAssocID="{40483AD3-9445-3445-A5F8-D8559A4AA265}" presName="connTx" presStyleLbl="parChTrans1D2" presStyleIdx="1" presStyleCnt="3"/>
      <dgm:spPr/>
    </dgm:pt>
    <dgm:pt modelId="{DBFDC4AF-08D9-7F46-9AB9-E9ABD4DD525A}" type="pres">
      <dgm:prSet presAssocID="{CDC78CC2-FFF8-0144-BD2F-B0055B42CBF4}" presName="root2" presStyleCnt="0"/>
      <dgm:spPr/>
    </dgm:pt>
    <dgm:pt modelId="{F426C306-A4D9-1E4F-810D-3A114A7F247D}" type="pres">
      <dgm:prSet presAssocID="{CDC78CC2-FFF8-0144-BD2F-B0055B42CBF4}" presName="LevelTwoTextNode" presStyleLbl="node2" presStyleIdx="1" presStyleCnt="3">
        <dgm:presLayoutVars>
          <dgm:chPref val="3"/>
        </dgm:presLayoutVars>
      </dgm:prSet>
      <dgm:spPr/>
    </dgm:pt>
    <dgm:pt modelId="{87ED7063-BC74-1348-ADFC-D686274B6B2E}" type="pres">
      <dgm:prSet presAssocID="{CDC78CC2-FFF8-0144-BD2F-B0055B42CBF4}" presName="level3hierChild" presStyleCnt="0"/>
      <dgm:spPr/>
    </dgm:pt>
    <dgm:pt modelId="{D890F1CE-AF69-3948-85B4-B9896C8D94E2}" type="pres">
      <dgm:prSet presAssocID="{BC734A64-090D-3F49-BECF-838811714EFD}" presName="conn2-1" presStyleLbl="parChTrans1D3" presStyleIdx="2" presStyleCnt="6"/>
      <dgm:spPr/>
    </dgm:pt>
    <dgm:pt modelId="{F5C836FD-6C1C-1047-92D4-4A1D6ACFAE0E}" type="pres">
      <dgm:prSet presAssocID="{BC734A64-090D-3F49-BECF-838811714EFD}" presName="connTx" presStyleLbl="parChTrans1D3" presStyleIdx="2" presStyleCnt="6"/>
      <dgm:spPr/>
    </dgm:pt>
    <dgm:pt modelId="{9B1588DB-7910-874B-9BD7-8DF001496D62}" type="pres">
      <dgm:prSet presAssocID="{4E5E8EF4-584E-6C47-95A3-D270001EEF83}" presName="root2" presStyleCnt="0"/>
      <dgm:spPr/>
    </dgm:pt>
    <dgm:pt modelId="{CB980604-D38A-E243-9090-C1C7F1C73596}" type="pres">
      <dgm:prSet presAssocID="{4E5E8EF4-584E-6C47-95A3-D270001EEF83}" presName="LevelTwoTextNode" presStyleLbl="node3" presStyleIdx="2" presStyleCnt="6">
        <dgm:presLayoutVars>
          <dgm:chPref val="3"/>
        </dgm:presLayoutVars>
      </dgm:prSet>
      <dgm:spPr/>
    </dgm:pt>
    <dgm:pt modelId="{1E91C798-E0C9-E341-B099-AE875309174C}" type="pres">
      <dgm:prSet presAssocID="{4E5E8EF4-584E-6C47-95A3-D270001EEF83}" presName="level3hierChild" presStyleCnt="0"/>
      <dgm:spPr/>
    </dgm:pt>
    <dgm:pt modelId="{3F9D2A56-D1B4-0941-A4B6-EAA767567F61}" type="pres">
      <dgm:prSet presAssocID="{D4AEBBEA-7136-A645-97B6-4BA63DCAFB35}" presName="conn2-1" presStyleLbl="parChTrans1D4" presStyleIdx="0" presStyleCnt="6"/>
      <dgm:spPr/>
    </dgm:pt>
    <dgm:pt modelId="{3198D296-7263-4345-B2A7-AC2915C89443}" type="pres">
      <dgm:prSet presAssocID="{D4AEBBEA-7136-A645-97B6-4BA63DCAFB35}" presName="connTx" presStyleLbl="parChTrans1D4" presStyleIdx="0" presStyleCnt="6"/>
      <dgm:spPr/>
    </dgm:pt>
    <dgm:pt modelId="{99433689-C317-9C43-A5E3-1847242DAB01}" type="pres">
      <dgm:prSet presAssocID="{001A3378-B349-3649-A336-D136A092426C}" presName="root2" presStyleCnt="0"/>
      <dgm:spPr/>
    </dgm:pt>
    <dgm:pt modelId="{C75BB9B0-B2B5-E648-8CE8-94360FD98457}" type="pres">
      <dgm:prSet presAssocID="{001A3378-B349-3649-A336-D136A092426C}" presName="LevelTwoTextNode" presStyleLbl="node4" presStyleIdx="0" presStyleCnt="6">
        <dgm:presLayoutVars>
          <dgm:chPref val="3"/>
        </dgm:presLayoutVars>
      </dgm:prSet>
      <dgm:spPr/>
    </dgm:pt>
    <dgm:pt modelId="{F6FCE597-D347-C849-98A5-16EC004C6279}" type="pres">
      <dgm:prSet presAssocID="{001A3378-B349-3649-A336-D136A092426C}" presName="level3hierChild" presStyleCnt="0"/>
      <dgm:spPr/>
    </dgm:pt>
    <dgm:pt modelId="{736FF374-A22A-E347-B4BC-B2485C163A0C}" type="pres">
      <dgm:prSet presAssocID="{0530E0FF-1B02-8045-B339-BE9E48443857}" presName="conn2-1" presStyleLbl="parChTrans1D4" presStyleIdx="1" presStyleCnt="6"/>
      <dgm:spPr/>
    </dgm:pt>
    <dgm:pt modelId="{2907A6FE-FD7B-984E-A30F-9905A1626E9F}" type="pres">
      <dgm:prSet presAssocID="{0530E0FF-1B02-8045-B339-BE9E48443857}" presName="connTx" presStyleLbl="parChTrans1D4" presStyleIdx="1" presStyleCnt="6"/>
      <dgm:spPr/>
    </dgm:pt>
    <dgm:pt modelId="{F8E4CDC5-7ED8-2345-857D-945233A6DE00}" type="pres">
      <dgm:prSet presAssocID="{47554A72-4F00-5544-B740-AD32F0ECD4D9}" presName="root2" presStyleCnt="0"/>
      <dgm:spPr/>
    </dgm:pt>
    <dgm:pt modelId="{5BA00BB0-2916-7845-BED2-33E7979C8A51}" type="pres">
      <dgm:prSet presAssocID="{47554A72-4F00-5544-B740-AD32F0ECD4D9}" presName="LevelTwoTextNode" presStyleLbl="node4" presStyleIdx="1" presStyleCnt="6">
        <dgm:presLayoutVars>
          <dgm:chPref val="3"/>
        </dgm:presLayoutVars>
      </dgm:prSet>
      <dgm:spPr/>
    </dgm:pt>
    <dgm:pt modelId="{85A369AB-2451-CC40-B4BC-D5F05E367D69}" type="pres">
      <dgm:prSet presAssocID="{47554A72-4F00-5544-B740-AD32F0ECD4D9}" presName="level3hierChild" presStyleCnt="0"/>
      <dgm:spPr/>
    </dgm:pt>
    <dgm:pt modelId="{CDF8C39A-E96E-2E43-843F-527D1F53EF88}" type="pres">
      <dgm:prSet presAssocID="{B169A24D-EB94-2847-A482-B8ABFCC524D7}" presName="conn2-1" presStyleLbl="parChTrans1D3" presStyleIdx="3" presStyleCnt="6"/>
      <dgm:spPr/>
    </dgm:pt>
    <dgm:pt modelId="{44A3F987-34EB-C949-ADB0-781293FDAA39}" type="pres">
      <dgm:prSet presAssocID="{B169A24D-EB94-2847-A482-B8ABFCC524D7}" presName="connTx" presStyleLbl="parChTrans1D3" presStyleIdx="3" presStyleCnt="6"/>
      <dgm:spPr/>
    </dgm:pt>
    <dgm:pt modelId="{8396F5D0-9F17-0641-95F7-B59A28CB05E6}" type="pres">
      <dgm:prSet presAssocID="{E8C02A9A-4994-9742-BB97-EE0A67A50169}" presName="root2" presStyleCnt="0"/>
      <dgm:spPr/>
    </dgm:pt>
    <dgm:pt modelId="{27BA188A-1744-8A49-9791-0E4724882A5A}" type="pres">
      <dgm:prSet presAssocID="{E8C02A9A-4994-9742-BB97-EE0A67A50169}" presName="LevelTwoTextNode" presStyleLbl="node3" presStyleIdx="3" presStyleCnt="6">
        <dgm:presLayoutVars>
          <dgm:chPref val="3"/>
        </dgm:presLayoutVars>
      </dgm:prSet>
      <dgm:spPr/>
    </dgm:pt>
    <dgm:pt modelId="{D96BE902-B492-CD42-9E62-41C3C98B2025}" type="pres">
      <dgm:prSet presAssocID="{E8C02A9A-4994-9742-BB97-EE0A67A50169}" presName="level3hierChild" presStyleCnt="0"/>
      <dgm:spPr/>
    </dgm:pt>
    <dgm:pt modelId="{99AE0A9B-2BC0-D943-89AE-159BE1727606}" type="pres">
      <dgm:prSet presAssocID="{AB5A9DF8-77CF-C544-837F-D5C163645E4B}" presName="conn2-1" presStyleLbl="parChTrans1D2" presStyleIdx="2" presStyleCnt="3"/>
      <dgm:spPr/>
    </dgm:pt>
    <dgm:pt modelId="{C2140B99-8967-2148-A4E1-C59700921140}" type="pres">
      <dgm:prSet presAssocID="{AB5A9DF8-77CF-C544-837F-D5C163645E4B}" presName="connTx" presStyleLbl="parChTrans1D2" presStyleIdx="2" presStyleCnt="3"/>
      <dgm:spPr/>
    </dgm:pt>
    <dgm:pt modelId="{40E12146-3682-104D-9825-517C5011B7B8}" type="pres">
      <dgm:prSet presAssocID="{EB4B56BD-B357-BB4B-9C61-3FC10C56DDA6}" presName="root2" presStyleCnt="0"/>
      <dgm:spPr/>
    </dgm:pt>
    <dgm:pt modelId="{7E8BCBC0-0FC7-9646-B31A-C8055A3A4E27}" type="pres">
      <dgm:prSet presAssocID="{EB4B56BD-B357-BB4B-9C61-3FC10C56DDA6}" presName="LevelTwoTextNode" presStyleLbl="node2" presStyleIdx="2" presStyleCnt="3">
        <dgm:presLayoutVars>
          <dgm:chPref val="3"/>
        </dgm:presLayoutVars>
      </dgm:prSet>
      <dgm:spPr/>
    </dgm:pt>
    <dgm:pt modelId="{8ED67B9D-6977-8B47-9144-233D018141A5}" type="pres">
      <dgm:prSet presAssocID="{EB4B56BD-B357-BB4B-9C61-3FC10C56DDA6}" presName="level3hierChild" presStyleCnt="0"/>
      <dgm:spPr/>
    </dgm:pt>
    <dgm:pt modelId="{312114B3-AB79-CC4C-8B79-513127A1FBA8}" type="pres">
      <dgm:prSet presAssocID="{76275359-E04A-AF42-81EC-21714C1BDB93}" presName="conn2-1" presStyleLbl="parChTrans1D3" presStyleIdx="4" presStyleCnt="6"/>
      <dgm:spPr/>
    </dgm:pt>
    <dgm:pt modelId="{51498259-5275-2A4D-8B95-0643E9DF0CD9}" type="pres">
      <dgm:prSet presAssocID="{76275359-E04A-AF42-81EC-21714C1BDB93}" presName="connTx" presStyleLbl="parChTrans1D3" presStyleIdx="4" presStyleCnt="6"/>
      <dgm:spPr/>
    </dgm:pt>
    <dgm:pt modelId="{8F9BE783-8BAD-EA46-A9B6-F1B43A9D8A12}" type="pres">
      <dgm:prSet presAssocID="{78895ECF-A650-E446-8BF7-4313A2937C95}" presName="root2" presStyleCnt="0"/>
      <dgm:spPr/>
    </dgm:pt>
    <dgm:pt modelId="{C3CE692A-2ABC-C046-94B5-5F430399564F}" type="pres">
      <dgm:prSet presAssocID="{78895ECF-A650-E446-8BF7-4313A2937C95}" presName="LevelTwoTextNode" presStyleLbl="node3" presStyleIdx="4" presStyleCnt="6">
        <dgm:presLayoutVars>
          <dgm:chPref val="3"/>
        </dgm:presLayoutVars>
      </dgm:prSet>
      <dgm:spPr/>
    </dgm:pt>
    <dgm:pt modelId="{285B8C58-B085-7C47-9558-7EB1D48E263B}" type="pres">
      <dgm:prSet presAssocID="{78895ECF-A650-E446-8BF7-4313A2937C95}" presName="level3hierChild" presStyleCnt="0"/>
      <dgm:spPr/>
    </dgm:pt>
    <dgm:pt modelId="{B8B44804-A22F-DE4C-A6A0-8CBF7C4F841B}" type="pres">
      <dgm:prSet presAssocID="{4FF5BAC3-A1D8-5F46-8D3B-22FCCB71AEDA}" presName="conn2-1" presStyleLbl="parChTrans1D4" presStyleIdx="2" presStyleCnt="6"/>
      <dgm:spPr/>
    </dgm:pt>
    <dgm:pt modelId="{0B5ADDE1-C731-414A-99AF-720FCD3F674A}" type="pres">
      <dgm:prSet presAssocID="{4FF5BAC3-A1D8-5F46-8D3B-22FCCB71AEDA}" presName="connTx" presStyleLbl="parChTrans1D4" presStyleIdx="2" presStyleCnt="6"/>
      <dgm:spPr/>
    </dgm:pt>
    <dgm:pt modelId="{1948A99E-E845-634C-ADF5-49E35830D6EE}" type="pres">
      <dgm:prSet presAssocID="{996E432C-992C-734D-8870-CECCE84BA46A}" presName="root2" presStyleCnt="0"/>
      <dgm:spPr/>
    </dgm:pt>
    <dgm:pt modelId="{04533643-2685-6B49-A2A4-C3CE8DEA48B8}" type="pres">
      <dgm:prSet presAssocID="{996E432C-992C-734D-8870-CECCE84BA46A}" presName="LevelTwoTextNode" presStyleLbl="node4" presStyleIdx="2" presStyleCnt="6">
        <dgm:presLayoutVars>
          <dgm:chPref val="3"/>
        </dgm:presLayoutVars>
      </dgm:prSet>
      <dgm:spPr/>
    </dgm:pt>
    <dgm:pt modelId="{D8BD49F8-23F3-144F-AED9-9450D8BC11FE}" type="pres">
      <dgm:prSet presAssocID="{996E432C-992C-734D-8870-CECCE84BA46A}" presName="level3hierChild" presStyleCnt="0"/>
      <dgm:spPr/>
    </dgm:pt>
    <dgm:pt modelId="{E28262F7-0DDC-7848-AA4F-B185E1286581}" type="pres">
      <dgm:prSet presAssocID="{16D61F7E-01ED-034C-BEB2-A45F71F63A4A}" presName="conn2-1" presStyleLbl="parChTrans1D4" presStyleIdx="3" presStyleCnt="6"/>
      <dgm:spPr/>
    </dgm:pt>
    <dgm:pt modelId="{86638F8F-1542-2C4C-9A22-EF297C67A967}" type="pres">
      <dgm:prSet presAssocID="{16D61F7E-01ED-034C-BEB2-A45F71F63A4A}" presName="connTx" presStyleLbl="parChTrans1D4" presStyleIdx="3" presStyleCnt="6"/>
      <dgm:spPr/>
    </dgm:pt>
    <dgm:pt modelId="{BFF9AA37-C804-3D4E-8A86-EFA8839725E8}" type="pres">
      <dgm:prSet presAssocID="{9E5E5770-C4FB-EF4F-8B23-02E8FE4A6DF5}" presName="root2" presStyleCnt="0"/>
      <dgm:spPr/>
    </dgm:pt>
    <dgm:pt modelId="{C60FADCE-076B-5E4B-ADE4-1AB3CDB83C91}" type="pres">
      <dgm:prSet presAssocID="{9E5E5770-C4FB-EF4F-8B23-02E8FE4A6DF5}" presName="LevelTwoTextNode" presStyleLbl="node4" presStyleIdx="3" presStyleCnt="6">
        <dgm:presLayoutVars>
          <dgm:chPref val="3"/>
        </dgm:presLayoutVars>
      </dgm:prSet>
      <dgm:spPr/>
    </dgm:pt>
    <dgm:pt modelId="{0BD84E23-195B-B149-BA97-ABE4958AC076}" type="pres">
      <dgm:prSet presAssocID="{9E5E5770-C4FB-EF4F-8B23-02E8FE4A6DF5}" presName="level3hierChild" presStyleCnt="0"/>
      <dgm:spPr/>
    </dgm:pt>
    <dgm:pt modelId="{698A0ED6-BC10-9E45-8010-A475622FDE14}" type="pres">
      <dgm:prSet presAssocID="{F878B55D-9108-7847-9B48-DD80AF731CB2}" presName="conn2-1" presStyleLbl="parChTrans1D3" presStyleIdx="5" presStyleCnt="6"/>
      <dgm:spPr/>
    </dgm:pt>
    <dgm:pt modelId="{54FD138E-2A4F-C644-9BF2-61D5741E78A7}" type="pres">
      <dgm:prSet presAssocID="{F878B55D-9108-7847-9B48-DD80AF731CB2}" presName="connTx" presStyleLbl="parChTrans1D3" presStyleIdx="5" presStyleCnt="6"/>
      <dgm:spPr/>
    </dgm:pt>
    <dgm:pt modelId="{538CD5B4-F91B-A646-AE81-7219DA94B8AF}" type="pres">
      <dgm:prSet presAssocID="{80C7FDE1-444E-3B41-A677-F9C1464478AC}" presName="root2" presStyleCnt="0"/>
      <dgm:spPr/>
    </dgm:pt>
    <dgm:pt modelId="{EFAA6B61-4853-6444-B6F0-46E159CBD8E5}" type="pres">
      <dgm:prSet presAssocID="{80C7FDE1-444E-3B41-A677-F9C1464478AC}" presName="LevelTwoTextNode" presStyleLbl="node3" presStyleIdx="5" presStyleCnt="6">
        <dgm:presLayoutVars>
          <dgm:chPref val="3"/>
        </dgm:presLayoutVars>
      </dgm:prSet>
      <dgm:spPr/>
    </dgm:pt>
    <dgm:pt modelId="{494BE68F-F210-9147-9435-E3139CD999CA}" type="pres">
      <dgm:prSet presAssocID="{80C7FDE1-444E-3B41-A677-F9C1464478AC}" presName="level3hierChild" presStyleCnt="0"/>
      <dgm:spPr/>
    </dgm:pt>
    <dgm:pt modelId="{B28CBD54-3F19-A247-ADE1-279CC82795A1}" type="pres">
      <dgm:prSet presAssocID="{22DA63BA-6CC7-4A4F-B649-D09125459DA4}" presName="conn2-1" presStyleLbl="parChTrans1D4" presStyleIdx="4" presStyleCnt="6"/>
      <dgm:spPr/>
    </dgm:pt>
    <dgm:pt modelId="{8E68D8BA-4E71-B94B-9341-C6FDB60E8792}" type="pres">
      <dgm:prSet presAssocID="{22DA63BA-6CC7-4A4F-B649-D09125459DA4}" presName="connTx" presStyleLbl="parChTrans1D4" presStyleIdx="4" presStyleCnt="6"/>
      <dgm:spPr/>
    </dgm:pt>
    <dgm:pt modelId="{014155B1-C829-0A4D-B432-AB29116044F9}" type="pres">
      <dgm:prSet presAssocID="{19AE730F-1847-8D45-9C4B-99E60B62C210}" presName="root2" presStyleCnt="0"/>
      <dgm:spPr/>
    </dgm:pt>
    <dgm:pt modelId="{3F6356FD-F8CC-5B40-B0D8-8061EA14E36C}" type="pres">
      <dgm:prSet presAssocID="{19AE730F-1847-8D45-9C4B-99E60B62C210}" presName="LevelTwoTextNode" presStyleLbl="node4" presStyleIdx="4" presStyleCnt="6">
        <dgm:presLayoutVars>
          <dgm:chPref val="3"/>
        </dgm:presLayoutVars>
      </dgm:prSet>
      <dgm:spPr/>
    </dgm:pt>
    <dgm:pt modelId="{FBE9532A-CAC3-3341-9D25-6DBAFA04C404}" type="pres">
      <dgm:prSet presAssocID="{19AE730F-1847-8D45-9C4B-99E60B62C210}" presName="level3hierChild" presStyleCnt="0"/>
      <dgm:spPr/>
    </dgm:pt>
    <dgm:pt modelId="{3E055DFC-C0EB-F24E-AC40-47F1A23D8BD3}" type="pres">
      <dgm:prSet presAssocID="{87868AD2-5EA9-C34E-9372-72077DC0DA06}" presName="conn2-1" presStyleLbl="parChTrans1D4" presStyleIdx="5" presStyleCnt="6"/>
      <dgm:spPr/>
    </dgm:pt>
    <dgm:pt modelId="{2D406115-A204-5440-87B2-9CF1A2DD4538}" type="pres">
      <dgm:prSet presAssocID="{87868AD2-5EA9-C34E-9372-72077DC0DA06}" presName="connTx" presStyleLbl="parChTrans1D4" presStyleIdx="5" presStyleCnt="6"/>
      <dgm:spPr/>
    </dgm:pt>
    <dgm:pt modelId="{D87BDEC4-A15E-9C4F-8F40-2A519AA747AD}" type="pres">
      <dgm:prSet presAssocID="{4571B01E-4007-5149-9FF8-660A94EF8AE0}" presName="root2" presStyleCnt="0"/>
      <dgm:spPr/>
    </dgm:pt>
    <dgm:pt modelId="{C40EAB54-B029-BD4E-9C1C-0F6A20E6EADF}" type="pres">
      <dgm:prSet presAssocID="{4571B01E-4007-5149-9FF8-660A94EF8AE0}" presName="LevelTwoTextNode" presStyleLbl="node4" presStyleIdx="5" presStyleCnt="6">
        <dgm:presLayoutVars>
          <dgm:chPref val="3"/>
        </dgm:presLayoutVars>
      </dgm:prSet>
      <dgm:spPr/>
    </dgm:pt>
    <dgm:pt modelId="{DCED86E4-7C1B-1E44-A53A-F95AA54AA454}" type="pres">
      <dgm:prSet presAssocID="{4571B01E-4007-5149-9FF8-660A94EF8AE0}" presName="level3hierChild" presStyleCnt="0"/>
      <dgm:spPr/>
    </dgm:pt>
  </dgm:ptLst>
  <dgm:cxnLst>
    <dgm:cxn modelId="{08EDF502-085E-A44F-8448-4E3A2BDF3BE5}" type="presOf" srcId="{DE00E5E2-ABB0-D14C-A09A-B6C20E37E3B7}" destId="{F7DBC643-10F0-AE4C-8034-8F106B56C7A8}" srcOrd="0" destOrd="0" presId="urn:microsoft.com/office/officeart/2005/8/layout/hierarchy2"/>
    <dgm:cxn modelId="{7F161706-550A-1A4C-8384-C47CC566B15E}" type="presOf" srcId="{996E432C-992C-734D-8870-CECCE84BA46A}" destId="{04533643-2685-6B49-A2A4-C3CE8DEA48B8}" srcOrd="0" destOrd="0" presId="urn:microsoft.com/office/officeart/2005/8/layout/hierarchy2"/>
    <dgm:cxn modelId="{C6FCD506-2782-3B46-9564-69FC4EF738E3}" type="presOf" srcId="{9E5E5770-C4FB-EF4F-8B23-02E8FE4A6DF5}" destId="{C60FADCE-076B-5E4B-ADE4-1AB3CDB83C91}" srcOrd="0" destOrd="0" presId="urn:microsoft.com/office/officeart/2005/8/layout/hierarchy2"/>
    <dgm:cxn modelId="{35896A10-BCCF-0747-AC68-FEAE61209794}" type="presOf" srcId="{FE446B9B-B952-8F46-A3CA-35C29A3DA6BF}" destId="{D0C6BA12-73FE-4041-B981-BA83EDE783B3}" srcOrd="1" destOrd="0" presId="urn:microsoft.com/office/officeart/2005/8/layout/hierarchy2"/>
    <dgm:cxn modelId="{CFA66C10-C39D-1146-99BF-06417BE9F380}" type="presOf" srcId="{76275359-E04A-AF42-81EC-21714C1BDB93}" destId="{312114B3-AB79-CC4C-8B79-513127A1FBA8}" srcOrd="0" destOrd="0" presId="urn:microsoft.com/office/officeart/2005/8/layout/hierarchy2"/>
    <dgm:cxn modelId="{3BE49911-8E00-C14C-8EC7-30F4399B4520}" type="presOf" srcId="{4571B01E-4007-5149-9FF8-660A94EF8AE0}" destId="{C40EAB54-B029-BD4E-9C1C-0F6A20E6EADF}" srcOrd="0" destOrd="0" presId="urn:microsoft.com/office/officeart/2005/8/layout/hierarchy2"/>
    <dgm:cxn modelId="{EB1E2B18-4F9F-304D-BA13-B9F73BA66E2A}" type="presOf" srcId="{CDC78CC2-FFF8-0144-BD2F-B0055B42CBF4}" destId="{F426C306-A4D9-1E4F-810D-3A114A7F247D}" srcOrd="0" destOrd="0" presId="urn:microsoft.com/office/officeart/2005/8/layout/hierarchy2"/>
    <dgm:cxn modelId="{CCCAC418-6E5A-FA4B-9FB9-2F87993895BE}" type="presOf" srcId="{AB5A9DF8-77CF-C544-837F-D5C163645E4B}" destId="{99AE0A9B-2BC0-D943-89AE-159BE1727606}" srcOrd="0" destOrd="0" presId="urn:microsoft.com/office/officeart/2005/8/layout/hierarchy2"/>
    <dgm:cxn modelId="{A16AA419-3276-5340-9891-BFA5B3CAF644}" srcId="{504B16FB-4B3A-1E46-8A5F-54421C7A629F}" destId="{2B812743-1276-754A-A5E3-FF9015AC0702}" srcOrd="0" destOrd="0" parTransId="{3EF0B62C-A721-F94B-8ACD-8B94BB340661}" sibTransId="{CB4FEC71-D3E6-804B-AF7C-07C11888FD1A}"/>
    <dgm:cxn modelId="{84C10E1B-FF06-6B43-8C6B-EDD05C190864}" type="presOf" srcId="{B169A24D-EB94-2847-A482-B8ABFCC524D7}" destId="{CDF8C39A-E96E-2E43-843F-527D1F53EF88}" srcOrd="0" destOrd="0" presId="urn:microsoft.com/office/officeart/2005/8/layout/hierarchy2"/>
    <dgm:cxn modelId="{92139921-90EF-CC4D-A02E-E395A719F207}" srcId="{2B812743-1276-754A-A5E3-FF9015AC0702}" destId="{693CE63A-878A-2E4A-8805-DC67503AB41B}" srcOrd="0" destOrd="0" parTransId="{F65D6D2B-D8D4-EF48-9A14-51BC19728143}" sibTransId="{D03AE93F-750D-404D-A37A-990C5A4BA709}"/>
    <dgm:cxn modelId="{CA29CC26-6FB2-384C-8849-59D2273DD0DF}" type="presOf" srcId="{78895ECF-A650-E446-8BF7-4313A2937C95}" destId="{C3CE692A-2ABC-C046-94B5-5F430399564F}" srcOrd="0" destOrd="0" presId="urn:microsoft.com/office/officeart/2005/8/layout/hierarchy2"/>
    <dgm:cxn modelId="{4C7B792D-6E72-F24F-B988-428AB1C00AFB}" srcId="{693CE63A-878A-2E4A-8805-DC67503AB41B}" destId="{17B46B2D-7D62-8C4A-B63E-43E810577F90}" srcOrd="0" destOrd="0" parTransId="{76378A76-DEB9-A846-B226-BF6C0BA90B1D}" sibTransId="{97F6AF9A-9BF2-714A-8EAE-D960CD88DE27}"/>
    <dgm:cxn modelId="{9B5A192E-9999-2945-B764-DCE6CCACFB18}" type="presOf" srcId="{0530E0FF-1B02-8045-B339-BE9E48443857}" destId="{2907A6FE-FD7B-984E-A30F-9905A1626E9F}" srcOrd="1" destOrd="0" presId="urn:microsoft.com/office/officeart/2005/8/layout/hierarchy2"/>
    <dgm:cxn modelId="{B5E46830-29BC-B640-8DF4-0C236506B64D}" type="presOf" srcId="{19AE730F-1847-8D45-9C4B-99E60B62C210}" destId="{3F6356FD-F8CC-5B40-B0D8-8061EA14E36C}" srcOrd="0" destOrd="0" presId="urn:microsoft.com/office/officeart/2005/8/layout/hierarchy2"/>
    <dgm:cxn modelId="{4CAB673D-F462-DD41-8187-92E6D1A65A77}" type="presOf" srcId="{76275359-E04A-AF42-81EC-21714C1BDB93}" destId="{51498259-5275-2A4D-8B95-0643E9DF0CD9}" srcOrd="1" destOrd="0" presId="urn:microsoft.com/office/officeart/2005/8/layout/hierarchy2"/>
    <dgm:cxn modelId="{DF4B093E-F48C-B447-8B4C-F128F2061E36}" type="presOf" srcId="{40483AD3-9445-3445-A5F8-D8559A4AA265}" destId="{F450362B-88E9-364C-BE70-C1DE22624119}" srcOrd="1" destOrd="0" presId="urn:microsoft.com/office/officeart/2005/8/layout/hierarchy2"/>
    <dgm:cxn modelId="{4C3B7041-B50C-4645-A017-8B6FA3DE0E99}" type="presOf" srcId="{4E5E8EF4-584E-6C47-95A3-D270001EEF83}" destId="{CB980604-D38A-E243-9090-C1C7F1C73596}" srcOrd="0" destOrd="0" presId="urn:microsoft.com/office/officeart/2005/8/layout/hierarchy2"/>
    <dgm:cxn modelId="{DFC3EC44-2D3F-A146-A700-1A87EFC72C8D}" type="presOf" srcId="{693CE63A-878A-2E4A-8805-DC67503AB41B}" destId="{87EEDA21-6D20-F247-99E3-9B2B5BE537E9}" srcOrd="0" destOrd="0" presId="urn:microsoft.com/office/officeart/2005/8/layout/hierarchy2"/>
    <dgm:cxn modelId="{50FBFC44-C6E3-794E-BFC2-83196ED3B3B1}" type="presOf" srcId="{47554A72-4F00-5544-B740-AD32F0ECD4D9}" destId="{5BA00BB0-2916-7845-BED2-33E7979C8A51}" srcOrd="0" destOrd="0" presId="urn:microsoft.com/office/officeart/2005/8/layout/hierarchy2"/>
    <dgm:cxn modelId="{64D54D47-DECE-6141-96B0-FAF90E2714CB}" type="presOf" srcId="{D4AEBBEA-7136-A645-97B6-4BA63DCAFB35}" destId="{3198D296-7263-4345-B2A7-AC2915C89443}" srcOrd="1" destOrd="0" presId="urn:microsoft.com/office/officeart/2005/8/layout/hierarchy2"/>
    <dgm:cxn modelId="{308FE949-5A0A-4B45-AEFE-8E990FF4CDE9}" type="presOf" srcId="{22DA63BA-6CC7-4A4F-B649-D09125459DA4}" destId="{B28CBD54-3F19-A247-ADE1-279CC82795A1}" srcOrd="0" destOrd="0" presId="urn:microsoft.com/office/officeart/2005/8/layout/hierarchy2"/>
    <dgm:cxn modelId="{C827DE4D-83B7-8F49-9E48-5DF056635D1A}" type="presOf" srcId="{16D61F7E-01ED-034C-BEB2-A45F71F63A4A}" destId="{E28262F7-0DDC-7848-AA4F-B185E1286581}" srcOrd="0" destOrd="0" presId="urn:microsoft.com/office/officeart/2005/8/layout/hierarchy2"/>
    <dgm:cxn modelId="{C402F857-93EB-234A-9485-1E76CD8035A5}" srcId="{2B812743-1276-754A-A5E3-FF9015AC0702}" destId="{CDC78CC2-FFF8-0144-BD2F-B0055B42CBF4}" srcOrd="1" destOrd="0" parTransId="{40483AD3-9445-3445-A5F8-D8559A4AA265}" sibTransId="{037C171B-A2F1-9848-BA52-E499A0BF97DB}"/>
    <dgm:cxn modelId="{94C09B58-24D7-7042-9B03-325F2587D963}" type="presOf" srcId="{4FF5BAC3-A1D8-5F46-8D3B-22FCCB71AEDA}" destId="{B8B44804-A22F-DE4C-A6A0-8CBF7C4F841B}" srcOrd="0" destOrd="0" presId="urn:microsoft.com/office/officeart/2005/8/layout/hierarchy2"/>
    <dgm:cxn modelId="{45081F59-E7C1-4B48-A7D5-D9E443F2AC85}" type="presOf" srcId="{B169A24D-EB94-2847-A482-B8ABFCC524D7}" destId="{44A3F987-34EB-C949-ADB0-781293FDAA39}" srcOrd="1" destOrd="0" presId="urn:microsoft.com/office/officeart/2005/8/layout/hierarchy2"/>
    <dgm:cxn modelId="{02ABE35A-6E59-094B-B8D8-20250AD458EA}" srcId="{80C7FDE1-444E-3B41-A677-F9C1464478AC}" destId="{19AE730F-1847-8D45-9C4B-99E60B62C210}" srcOrd="0" destOrd="0" parTransId="{22DA63BA-6CC7-4A4F-B649-D09125459DA4}" sibTransId="{BEF5ECF2-F414-B54A-81AB-5D2B76FBA3CB}"/>
    <dgm:cxn modelId="{5994695B-42F4-2941-897D-7C4E3017FEC9}" type="presOf" srcId="{F65D6D2B-D8D4-EF48-9A14-51BC19728143}" destId="{2C3ACBC1-D266-7642-B106-11BF4B658192}" srcOrd="0" destOrd="0" presId="urn:microsoft.com/office/officeart/2005/8/layout/hierarchy2"/>
    <dgm:cxn modelId="{572FA55F-F60F-B94E-BB96-E80D69294281}" type="presOf" srcId="{D4AEBBEA-7136-A645-97B6-4BA63DCAFB35}" destId="{3F9D2A56-D1B4-0941-A4B6-EAA767567F61}" srcOrd="0" destOrd="0" presId="urn:microsoft.com/office/officeart/2005/8/layout/hierarchy2"/>
    <dgm:cxn modelId="{D7F0AE65-6485-F645-A756-F13091FBB61E}" type="presOf" srcId="{F878B55D-9108-7847-9B48-DD80AF731CB2}" destId="{54FD138E-2A4F-C644-9BF2-61D5741E78A7}" srcOrd="1" destOrd="0" presId="urn:microsoft.com/office/officeart/2005/8/layout/hierarchy2"/>
    <dgm:cxn modelId="{E6372C6D-6485-9D4F-ABB3-E205EC02CCC0}" type="presOf" srcId="{76378A76-DEB9-A846-B226-BF6C0BA90B1D}" destId="{46636580-30C2-9E4B-8737-42E71486F281}" srcOrd="1" destOrd="0" presId="urn:microsoft.com/office/officeart/2005/8/layout/hierarchy2"/>
    <dgm:cxn modelId="{74EC746E-36BB-744E-95D6-1FB3C486EDBD}" type="presOf" srcId="{22DA63BA-6CC7-4A4F-B649-D09125459DA4}" destId="{8E68D8BA-4E71-B94B-9341-C6FDB60E8792}" srcOrd="1" destOrd="0" presId="urn:microsoft.com/office/officeart/2005/8/layout/hierarchy2"/>
    <dgm:cxn modelId="{04BC677B-DAE5-5447-8AD6-312212E5ED6B}" srcId="{80C7FDE1-444E-3B41-A677-F9C1464478AC}" destId="{4571B01E-4007-5149-9FF8-660A94EF8AE0}" srcOrd="1" destOrd="0" parTransId="{87868AD2-5EA9-C34E-9372-72077DC0DA06}" sibTransId="{C0E83801-0B6A-084B-AFA8-9D9D6DD56AB7}"/>
    <dgm:cxn modelId="{28FCB37D-0231-4B46-BFE2-E376694278A5}" type="presOf" srcId="{87868AD2-5EA9-C34E-9372-72077DC0DA06}" destId="{3E055DFC-C0EB-F24E-AC40-47F1A23D8BD3}" srcOrd="0" destOrd="0" presId="urn:microsoft.com/office/officeart/2005/8/layout/hierarchy2"/>
    <dgm:cxn modelId="{D1DDC47F-ED0B-5D4A-B9BD-624B0225BB9A}" type="presOf" srcId="{504B16FB-4B3A-1E46-8A5F-54421C7A629F}" destId="{9BBA83E0-9420-8149-8BD0-9498D67E37A0}" srcOrd="0" destOrd="0" presId="urn:microsoft.com/office/officeart/2005/8/layout/hierarchy2"/>
    <dgm:cxn modelId="{96836C84-36EF-4642-B3E0-CC4FE5F0E5EF}" type="presOf" srcId="{87868AD2-5EA9-C34E-9372-72077DC0DA06}" destId="{2D406115-A204-5440-87B2-9CF1A2DD4538}" srcOrd="1" destOrd="0" presId="urn:microsoft.com/office/officeart/2005/8/layout/hierarchy2"/>
    <dgm:cxn modelId="{A5B77585-DBF6-5446-A255-B5CF43628F17}" type="presOf" srcId="{4FF5BAC3-A1D8-5F46-8D3B-22FCCB71AEDA}" destId="{0B5ADDE1-C731-414A-99AF-720FCD3F674A}" srcOrd="1" destOrd="0" presId="urn:microsoft.com/office/officeart/2005/8/layout/hierarchy2"/>
    <dgm:cxn modelId="{AAC12789-E100-C947-8B3B-BA7C5077F603}" type="presOf" srcId="{F65D6D2B-D8D4-EF48-9A14-51BC19728143}" destId="{63B7DA6D-72B2-0844-816E-40681C8C614C}" srcOrd="1" destOrd="0" presId="urn:microsoft.com/office/officeart/2005/8/layout/hierarchy2"/>
    <dgm:cxn modelId="{AB13258B-ECC4-A74D-9044-8C10D478ECAD}" srcId="{CDC78CC2-FFF8-0144-BD2F-B0055B42CBF4}" destId="{4E5E8EF4-584E-6C47-95A3-D270001EEF83}" srcOrd="0" destOrd="0" parTransId="{BC734A64-090D-3F49-BECF-838811714EFD}" sibTransId="{AB6E7E43-A297-8440-B751-DBA4E66979F9}"/>
    <dgm:cxn modelId="{62050590-14F6-814B-B96C-4A2C1D893916}" type="presOf" srcId="{16D61F7E-01ED-034C-BEB2-A45F71F63A4A}" destId="{86638F8F-1542-2C4C-9A22-EF297C67A967}" srcOrd="1" destOrd="0" presId="urn:microsoft.com/office/officeart/2005/8/layout/hierarchy2"/>
    <dgm:cxn modelId="{A9FCBF92-EBA8-4F4A-AB48-D29173D998BA}" srcId="{78895ECF-A650-E446-8BF7-4313A2937C95}" destId="{996E432C-992C-734D-8870-CECCE84BA46A}" srcOrd="0" destOrd="0" parTransId="{4FF5BAC3-A1D8-5F46-8D3B-22FCCB71AEDA}" sibTransId="{722C4277-12AB-9D42-843F-D4EF487F6307}"/>
    <dgm:cxn modelId="{D171AE93-79AD-1845-B40C-A9479CAE8422}" srcId="{4E5E8EF4-584E-6C47-95A3-D270001EEF83}" destId="{001A3378-B349-3649-A336-D136A092426C}" srcOrd="0" destOrd="0" parTransId="{D4AEBBEA-7136-A645-97B6-4BA63DCAFB35}" sibTransId="{5879AF0D-DACB-7446-B97B-49D9D907401C}"/>
    <dgm:cxn modelId="{9C072894-5247-B34F-A68A-F79997EB3AAB}" type="presOf" srcId="{001A3378-B349-3649-A336-D136A092426C}" destId="{C75BB9B0-B2B5-E648-8CE8-94360FD98457}" srcOrd="0" destOrd="0" presId="urn:microsoft.com/office/officeart/2005/8/layout/hierarchy2"/>
    <dgm:cxn modelId="{24657E98-481E-844E-8468-BB6F4645EECA}" type="presOf" srcId="{E8C02A9A-4994-9742-BB97-EE0A67A50169}" destId="{27BA188A-1744-8A49-9791-0E4724882A5A}" srcOrd="0" destOrd="0" presId="urn:microsoft.com/office/officeart/2005/8/layout/hierarchy2"/>
    <dgm:cxn modelId="{3C125B9C-2113-A244-B9F7-044DE9741A0E}" type="presOf" srcId="{80C7FDE1-444E-3B41-A677-F9C1464478AC}" destId="{EFAA6B61-4853-6444-B6F0-46E159CBD8E5}" srcOrd="0" destOrd="0" presId="urn:microsoft.com/office/officeart/2005/8/layout/hierarchy2"/>
    <dgm:cxn modelId="{4C1C04A0-3C50-7847-9663-F864CF696EB7}" srcId="{78895ECF-A650-E446-8BF7-4313A2937C95}" destId="{9E5E5770-C4FB-EF4F-8B23-02E8FE4A6DF5}" srcOrd="1" destOrd="0" parTransId="{16D61F7E-01ED-034C-BEB2-A45F71F63A4A}" sibTransId="{9DCAA772-8E6D-B54D-B0CB-BD9752B7A961}"/>
    <dgm:cxn modelId="{2D5ED4A4-269A-1E40-B961-135025E528E2}" type="presOf" srcId="{17B46B2D-7D62-8C4A-B63E-43E810577F90}" destId="{904523E3-F7FC-2449-9AE7-1167041C705A}" srcOrd="0" destOrd="0" presId="urn:microsoft.com/office/officeart/2005/8/layout/hierarchy2"/>
    <dgm:cxn modelId="{9829D3A5-A23B-DC40-A1A1-1CB82C382849}" type="presOf" srcId="{F878B55D-9108-7847-9B48-DD80AF731CB2}" destId="{698A0ED6-BC10-9E45-8010-A475622FDE14}" srcOrd="0" destOrd="0" presId="urn:microsoft.com/office/officeart/2005/8/layout/hierarchy2"/>
    <dgm:cxn modelId="{071799A7-6CE0-0A45-809A-778A439D401C}" type="presOf" srcId="{BC734A64-090D-3F49-BECF-838811714EFD}" destId="{D890F1CE-AF69-3948-85B4-B9896C8D94E2}" srcOrd="0" destOrd="0" presId="urn:microsoft.com/office/officeart/2005/8/layout/hierarchy2"/>
    <dgm:cxn modelId="{CA65AFA7-AB44-0C46-A437-F6D8C351E219}" srcId="{CDC78CC2-FFF8-0144-BD2F-B0055B42CBF4}" destId="{E8C02A9A-4994-9742-BB97-EE0A67A50169}" srcOrd="1" destOrd="0" parTransId="{B169A24D-EB94-2847-A482-B8ABFCC524D7}" sibTransId="{49FC5000-67A6-EA40-9B6B-1EE6BCE82059}"/>
    <dgm:cxn modelId="{0F00A2AC-1D2C-2344-8C48-7B67F562DF24}" type="presOf" srcId="{AB5A9DF8-77CF-C544-837F-D5C163645E4B}" destId="{C2140B99-8967-2148-A4E1-C59700921140}" srcOrd="1" destOrd="0" presId="urn:microsoft.com/office/officeart/2005/8/layout/hierarchy2"/>
    <dgm:cxn modelId="{2C6D4BB6-82A8-C542-B38D-D97E79638B2B}" type="presOf" srcId="{2B812743-1276-754A-A5E3-FF9015AC0702}" destId="{73891813-FB21-914A-A27E-E9A661A61BCF}" srcOrd="0" destOrd="0" presId="urn:microsoft.com/office/officeart/2005/8/layout/hierarchy2"/>
    <dgm:cxn modelId="{997C02BA-2A51-424C-AF0B-7149BBF01CDC}" type="presOf" srcId="{0530E0FF-1B02-8045-B339-BE9E48443857}" destId="{736FF374-A22A-E347-B4BC-B2485C163A0C}" srcOrd="0" destOrd="0" presId="urn:microsoft.com/office/officeart/2005/8/layout/hierarchy2"/>
    <dgm:cxn modelId="{C02474C3-C505-384D-AF4A-63A301F0FC95}" srcId="{EB4B56BD-B357-BB4B-9C61-3FC10C56DDA6}" destId="{80C7FDE1-444E-3B41-A677-F9C1464478AC}" srcOrd="1" destOrd="0" parTransId="{F878B55D-9108-7847-9B48-DD80AF731CB2}" sibTransId="{F2808F14-B318-A442-A672-A1724DB2AE0F}"/>
    <dgm:cxn modelId="{97CCB5C3-4045-6C4A-91B5-4AE125BE6D38}" type="presOf" srcId="{40483AD3-9445-3445-A5F8-D8559A4AA265}" destId="{5A69EA9B-2087-0443-80C3-3A6DF4B2616B}" srcOrd="0" destOrd="0" presId="urn:microsoft.com/office/officeart/2005/8/layout/hierarchy2"/>
    <dgm:cxn modelId="{D54763C4-1E25-034F-8661-5F0E4CD928DE}" type="presOf" srcId="{EB4B56BD-B357-BB4B-9C61-3FC10C56DDA6}" destId="{7E8BCBC0-0FC7-9646-B31A-C8055A3A4E27}" srcOrd="0" destOrd="0" presId="urn:microsoft.com/office/officeart/2005/8/layout/hierarchy2"/>
    <dgm:cxn modelId="{E39124C9-DED4-A64C-99E3-6356964C1AE4}" type="presOf" srcId="{BC734A64-090D-3F49-BECF-838811714EFD}" destId="{F5C836FD-6C1C-1047-92D4-4A1D6ACFAE0E}" srcOrd="1" destOrd="0" presId="urn:microsoft.com/office/officeart/2005/8/layout/hierarchy2"/>
    <dgm:cxn modelId="{D81924CD-AEFF-EF4D-B4CD-D64A3F72774B}" srcId="{693CE63A-878A-2E4A-8805-DC67503AB41B}" destId="{DE00E5E2-ABB0-D14C-A09A-B6C20E37E3B7}" srcOrd="1" destOrd="0" parTransId="{FE446B9B-B952-8F46-A3CA-35C29A3DA6BF}" sibTransId="{9D5C83DB-91CE-1146-A2F7-B396A92595ED}"/>
    <dgm:cxn modelId="{B64B9BE3-BA6B-9A4D-8189-529FCB1D7AF8}" type="presOf" srcId="{76378A76-DEB9-A846-B226-BF6C0BA90B1D}" destId="{BDE4B12F-46EC-B24D-9023-317689B727A9}" srcOrd="0" destOrd="0" presId="urn:microsoft.com/office/officeart/2005/8/layout/hierarchy2"/>
    <dgm:cxn modelId="{E7B3A9E8-E6C1-7544-A31F-E25498DAB5C4}" srcId="{4E5E8EF4-584E-6C47-95A3-D270001EEF83}" destId="{47554A72-4F00-5544-B740-AD32F0ECD4D9}" srcOrd="1" destOrd="0" parTransId="{0530E0FF-1B02-8045-B339-BE9E48443857}" sibTransId="{F1B52B2E-F452-404F-BF26-05F8F5B1144F}"/>
    <dgm:cxn modelId="{A6591EF0-8F80-5643-AC18-092EAA5FF17E}" srcId="{EB4B56BD-B357-BB4B-9C61-3FC10C56DDA6}" destId="{78895ECF-A650-E446-8BF7-4313A2937C95}" srcOrd="0" destOrd="0" parTransId="{76275359-E04A-AF42-81EC-21714C1BDB93}" sibTransId="{09BD4365-3CAB-3D45-90A7-25ADA6B585E7}"/>
    <dgm:cxn modelId="{CE209CF4-53CF-F549-9F79-F441F4C9B454}" srcId="{2B812743-1276-754A-A5E3-FF9015AC0702}" destId="{EB4B56BD-B357-BB4B-9C61-3FC10C56DDA6}" srcOrd="2" destOrd="0" parTransId="{AB5A9DF8-77CF-C544-837F-D5C163645E4B}" sibTransId="{4B39AC2E-ED70-4941-815E-76ED4CA97798}"/>
    <dgm:cxn modelId="{7B4254F9-EC5A-484C-8506-ABDAA41FBF32}" type="presOf" srcId="{FE446B9B-B952-8F46-A3CA-35C29A3DA6BF}" destId="{23DE348A-E355-C143-827E-D508415F1929}" srcOrd="0" destOrd="0" presId="urn:microsoft.com/office/officeart/2005/8/layout/hierarchy2"/>
    <dgm:cxn modelId="{F11C79BA-B8A1-7C4D-BD54-25F3994FB686}" type="presParOf" srcId="{9BBA83E0-9420-8149-8BD0-9498D67E37A0}" destId="{A6E9DB84-6557-C348-B516-15A32C59FA36}" srcOrd="0" destOrd="0" presId="urn:microsoft.com/office/officeart/2005/8/layout/hierarchy2"/>
    <dgm:cxn modelId="{D76248AC-0EEC-594E-8229-60064CE216E1}" type="presParOf" srcId="{A6E9DB84-6557-C348-B516-15A32C59FA36}" destId="{73891813-FB21-914A-A27E-E9A661A61BCF}" srcOrd="0" destOrd="0" presId="urn:microsoft.com/office/officeart/2005/8/layout/hierarchy2"/>
    <dgm:cxn modelId="{CE1E2E58-E035-3E4C-A7B7-C6606C9EF000}" type="presParOf" srcId="{A6E9DB84-6557-C348-B516-15A32C59FA36}" destId="{CB563334-4979-A243-811D-FD16F0BEAAE2}" srcOrd="1" destOrd="0" presId="urn:microsoft.com/office/officeart/2005/8/layout/hierarchy2"/>
    <dgm:cxn modelId="{E6FC536C-68E0-C24A-AD62-CA0F8C410B13}" type="presParOf" srcId="{CB563334-4979-A243-811D-FD16F0BEAAE2}" destId="{2C3ACBC1-D266-7642-B106-11BF4B658192}" srcOrd="0" destOrd="0" presId="urn:microsoft.com/office/officeart/2005/8/layout/hierarchy2"/>
    <dgm:cxn modelId="{CFA60069-127D-704D-A3AB-83D511ECA727}" type="presParOf" srcId="{2C3ACBC1-D266-7642-B106-11BF4B658192}" destId="{63B7DA6D-72B2-0844-816E-40681C8C614C}" srcOrd="0" destOrd="0" presId="urn:microsoft.com/office/officeart/2005/8/layout/hierarchy2"/>
    <dgm:cxn modelId="{BAC0AEBE-BB90-504D-93DF-D5E1A256E6C0}" type="presParOf" srcId="{CB563334-4979-A243-811D-FD16F0BEAAE2}" destId="{0D15C4DA-D296-9140-B5E7-67CC05BC6F9C}" srcOrd="1" destOrd="0" presId="urn:microsoft.com/office/officeart/2005/8/layout/hierarchy2"/>
    <dgm:cxn modelId="{DA72F112-D5BB-DD45-A7D7-B9308D58BA5F}" type="presParOf" srcId="{0D15C4DA-D296-9140-B5E7-67CC05BC6F9C}" destId="{87EEDA21-6D20-F247-99E3-9B2B5BE537E9}" srcOrd="0" destOrd="0" presId="urn:microsoft.com/office/officeart/2005/8/layout/hierarchy2"/>
    <dgm:cxn modelId="{5AD21516-FA56-EE4F-B73D-E37908021A75}" type="presParOf" srcId="{0D15C4DA-D296-9140-B5E7-67CC05BC6F9C}" destId="{FDDAE7D6-8663-F046-ACD0-1F667D86BA94}" srcOrd="1" destOrd="0" presId="urn:microsoft.com/office/officeart/2005/8/layout/hierarchy2"/>
    <dgm:cxn modelId="{9434AEED-D275-0946-9F2B-694060B41713}" type="presParOf" srcId="{FDDAE7D6-8663-F046-ACD0-1F667D86BA94}" destId="{BDE4B12F-46EC-B24D-9023-317689B727A9}" srcOrd="0" destOrd="0" presId="urn:microsoft.com/office/officeart/2005/8/layout/hierarchy2"/>
    <dgm:cxn modelId="{71112691-6402-C949-AE0E-91F609EE4F52}" type="presParOf" srcId="{BDE4B12F-46EC-B24D-9023-317689B727A9}" destId="{46636580-30C2-9E4B-8737-42E71486F281}" srcOrd="0" destOrd="0" presId="urn:microsoft.com/office/officeart/2005/8/layout/hierarchy2"/>
    <dgm:cxn modelId="{CDDA9DD9-16D3-1949-89FF-F40C5FCBAD46}" type="presParOf" srcId="{FDDAE7D6-8663-F046-ACD0-1F667D86BA94}" destId="{5E864693-A9FF-5241-91BF-AF6D5F790085}" srcOrd="1" destOrd="0" presId="urn:microsoft.com/office/officeart/2005/8/layout/hierarchy2"/>
    <dgm:cxn modelId="{EE37BD34-574E-3A42-8464-C6D3FD4FF5BD}" type="presParOf" srcId="{5E864693-A9FF-5241-91BF-AF6D5F790085}" destId="{904523E3-F7FC-2449-9AE7-1167041C705A}" srcOrd="0" destOrd="0" presId="urn:microsoft.com/office/officeart/2005/8/layout/hierarchy2"/>
    <dgm:cxn modelId="{EC3ECB48-D1E2-D547-B7CE-3029E8EFB276}" type="presParOf" srcId="{5E864693-A9FF-5241-91BF-AF6D5F790085}" destId="{0AD594EA-AEAF-C841-B9C5-B8C3801743CC}" srcOrd="1" destOrd="0" presId="urn:microsoft.com/office/officeart/2005/8/layout/hierarchy2"/>
    <dgm:cxn modelId="{9564FE12-1D55-5E46-95CC-E15DD2AFBB08}" type="presParOf" srcId="{FDDAE7D6-8663-F046-ACD0-1F667D86BA94}" destId="{23DE348A-E355-C143-827E-D508415F1929}" srcOrd="2" destOrd="0" presId="urn:microsoft.com/office/officeart/2005/8/layout/hierarchy2"/>
    <dgm:cxn modelId="{5A9FA956-69DF-E341-9621-9DC851445F7B}" type="presParOf" srcId="{23DE348A-E355-C143-827E-D508415F1929}" destId="{D0C6BA12-73FE-4041-B981-BA83EDE783B3}" srcOrd="0" destOrd="0" presId="urn:microsoft.com/office/officeart/2005/8/layout/hierarchy2"/>
    <dgm:cxn modelId="{4E2733FA-7F4C-9B4E-B61D-5778ED823FA3}" type="presParOf" srcId="{FDDAE7D6-8663-F046-ACD0-1F667D86BA94}" destId="{7A7C6021-316E-FB42-9335-FFB819191C89}" srcOrd="3" destOrd="0" presId="urn:microsoft.com/office/officeart/2005/8/layout/hierarchy2"/>
    <dgm:cxn modelId="{9227C2B6-74F3-F34D-9681-7BB9F2C1CD20}" type="presParOf" srcId="{7A7C6021-316E-FB42-9335-FFB819191C89}" destId="{F7DBC643-10F0-AE4C-8034-8F106B56C7A8}" srcOrd="0" destOrd="0" presId="urn:microsoft.com/office/officeart/2005/8/layout/hierarchy2"/>
    <dgm:cxn modelId="{F6639FA1-374A-ED47-99A9-75B9135734C8}" type="presParOf" srcId="{7A7C6021-316E-FB42-9335-FFB819191C89}" destId="{51981ACB-CB96-9E4E-88B4-000141FE94A6}" srcOrd="1" destOrd="0" presId="urn:microsoft.com/office/officeart/2005/8/layout/hierarchy2"/>
    <dgm:cxn modelId="{B4950F89-F4C2-C641-BCA6-FABA1932C859}" type="presParOf" srcId="{CB563334-4979-A243-811D-FD16F0BEAAE2}" destId="{5A69EA9B-2087-0443-80C3-3A6DF4B2616B}" srcOrd="2" destOrd="0" presId="urn:microsoft.com/office/officeart/2005/8/layout/hierarchy2"/>
    <dgm:cxn modelId="{EA8D2712-98E0-2F49-B977-50560B2FE3E0}" type="presParOf" srcId="{5A69EA9B-2087-0443-80C3-3A6DF4B2616B}" destId="{F450362B-88E9-364C-BE70-C1DE22624119}" srcOrd="0" destOrd="0" presId="urn:microsoft.com/office/officeart/2005/8/layout/hierarchy2"/>
    <dgm:cxn modelId="{B22DF208-88B1-D14C-97AB-43E86F6869E1}" type="presParOf" srcId="{CB563334-4979-A243-811D-FD16F0BEAAE2}" destId="{DBFDC4AF-08D9-7F46-9AB9-E9ABD4DD525A}" srcOrd="3" destOrd="0" presId="urn:microsoft.com/office/officeart/2005/8/layout/hierarchy2"/>
    <dgm:cxn modelId="{D15242FB-5D61-EF45-A100-23C51B084D80}" type="presParOf" srcId="{DBFDC4AF-08D9-7F46-9AB9-E9ABD4DD525A}" destId="{F426C306-A4D9-1E4F-810D-3A114A7F247D}" srcOrd="0" destOrd="0" presId="urn:microsoft.com/office/officeart/2005/8/layout/hierarchy2"/>
    <dgm:cxn modelId="{0E9C64D5-94EE-0D47-AC09-08E8152A0AD4}" type="presParOf" srcId="{DBFDC4AF-08D9-7F46-9AB9-E9ABD4DD525A}" destId="{87ED7063-BC74-1348-ADFC-D686274B6B2E}" srcOrd="1" destOrd="0" presId="urn:microsoft.com/office/officeart/2005/8/layout/hierarchy2"/>
    <dgm:cxn modelId="{FD9F8336-5069-2F46-BAA0-F96145659B37}" type="presParOf" srcId="{87ED7063-BC74-1348-ADFC-D686274B6B2E}" destId="{D890F1CE-AF69-3948-85B4-B9896C8D94E2}" srcOrd="0" destOrd="0" presId="urn:microsoft.com/office/officeart/2005/8/layout/hierarchy2"/>
    <dgm:cxn modelId="{5E564FE8-F9D8-AE47-AAC5-D988EEE2B4C9}" type="presParOf" srcId="{D890F1CE-AF69-3948-85B4-B9896C8D94E2}" destId="{F5C836FD-6C1C-1047-92D4-4A1D6ACFAE0E}" srcOrd="0" destOrd="0" presId="urn:microsoft.com/office/officeart/2005/8/layout/hierarchy2"/>
    <dgm:cxn modelId="{11A0AE62-09F3-0749-A516-AD2D737DD61E}" type="presParOf" srcId="{87ED7063-BC74-1348-ADFC-D686274B6B2E}" destId="{9B1588DB-7910-874B-9BD7-8DF001496D62}" srcOrd="1" destOrd="0" presId="urn:microsoft.com/office/officeart/2005/8/layout/hierarchy2"/>
    <dgm:cxn modelId="{66258AAF-0683-A54C-8EEA-BE1FB31D2AE4}" type="presParOf" srcId="{9B1588DB-7910-874B-9BD7-8DF001496D62}" destId="{CB980604-D38A-E243-9090-C1C7F1C73596}" srcOrd="0" destOrd="0" presId="urn:microsoft.com/office/officeart/2005/8/layout/hierarchy2"/>
    <dgm:cxn modelId="{EE400637-0385-234C-B9F1-6B15F9079BFC}" type="presParOf" srcId="{9B1588DB-7910-874B-9BD7-8DF001496D62}" destId="{1E91C798-E0C9-E341-B099-AE875309174C}" srcOrd="1" destOrd="0" presId="urn:microsoft.com/office/officeart/2005/8/layout/hierarchy2"/>
    <dgm:cxn modelId="{3CD3A8CC-2B49-3A48-9F79-AB3B61E71104}" type="presParOf" srcId="{1E91C798-E0C9-E341-B099-AE875309174C}" destId="{3F9D2A56-D1B4-0941-A4B6-EAA767567F61}" srcOrd="0" destOrd="0" presId="urn:microsoft.com/office/officeart/2005/8/layout/hierarchy2"/>
    <dgm:cxn modelId="{85AF0DF2-980B-8B48-913E-90790FA409DA}" type="presParOf" srcId="{3F9D2A56-D1B4-0941-A4B6-EAA767567F61}" destId="{3198D296-7263-4345-B2A7-AC2915C89443}" srcOrd="0" destOrd="0" presId="urn:microsoft.com/office/officeart/2005/8/layout/hierarchy2"/>
    <dgm:cxn modelId="{C4AD9BC7-C753-4248-8A92-25373DB08179}" type="presParOf" srcId="{1E91C798-E0C9-E341-B099-AE875309174C}" destId="{99433689-C317-9C43-A5E3-1847242DAB01}" srcOrd="1" destOrd="0" presId="urn:microsoft.com/office/officeart/2005/8/layout/hierarchy2"/>
    <dgm:cxn modelId="{54602A89-0646-D649-8B05-D9EF06D517A6}" type="presParOf" srcId="{99433689-C317-9C43-A5E3-1847242DAB01}" destId="{C75BB9B0-B2B5-E648-8CE8-94360FD98457}" srcOrd="0" destOrd="0" presId="urn:microsoft.com/office/officeart/2005/8/layout/hierarchy2"/>
    <dgm:cxn modelId="{B2DFFB78-1D41-4F41-9F68-77A8EE98BD47}" type="presParOf" srcId="{99433689-C317-9C43-A5E3-1847242DAB01}" destId="{F6FCE597-D347-C849-98A5-16EC004C6279}" srcOrd="1" destOrd="0" presId="urn:microsoft.com/office/officeart/2005/8/layout/hierarchy2"/>
    <dgm:cxn modelId="{0FB3C1B9-4506-E442-A48E-0D97678373A9}" type="presParOf" srcId="{1E91C798-E0C9-E341-B099-AE875309174C}" destId="{736FF374-A22A-E347-B4BC-B2485C163A0C}" srcOrd="2" destOrd="0" presId="urn:microsoft.com/office/officeart/2005/8/layout/hierarchy2"/>
    <dgm:cxn modelId="{3F22F7CB-EEFE-284A-8503-F4E1C27F2916}" type="presParOf" srcId="{736FF374-A22A-E347-B4BC-B2485C163A0C}" destId="{2907A6FE-FD7B-984E-A30F-9905A1626E9F}" srcOrd="0" destOrd="0" presId="urn:microsoft.com/office/officeart/2005/8/layout/hierarchy2"/>
    <dgm:cxn modelId="{E2829737-1F6E-344E-8960-8494BA037B94}" type="presParOf" srcId="{1E91C798-E0C9-E341-B099-AE875309174C}" destId="{F8E4CDC5-7ED8-2345-857D-945233A6DE00}" srcOrd="3" destOrd="0" presId="urn:microsoft.com/office/officeart/2005/8/layout/hierarchy2"/>
    <dgm:cxn modelId="{F0886781-EE15-AB41-9B98-86ADB04D7222}" type="presParOf" srcId="{F8E4CDC5-7ED8-2345-857D-945233A6DE00}" destId="{5BA00BB0-2916-7845-BED2-33E7979C8A51}" srcOrd="0" destOrd="0" presId="urn:microsoft.com/office/officeart/2005/8/layout/hierarchy2"/>
    <dgm:cxn modelId="{367BE6DC-3830-EB4F-9B6A-4BBAF03E8FF6}" type="presParOf" srcId="{F8E4CDC5-7ED8-2345-857D-945233A6DE00}" destId="{85A369AB-2451-CC40-B4BC-D5F05E367D69}" srcOrd="1" destOrd="0" presId="urn:microsoft.com/office/officeart/2005/8/layout/hierarchy2"/>
    <dgm:cxn modelId="{1C9F2472-513F-AA4D-8B25-A6D1796D9065}" type="presParOf" srcId="{87ED7063-BC74-1348-ADFC-D686274B6B2E}" destId="{CDF8C39A-E96E-2E43-843F-527D1F53EF88}" srcOrd="2" destOrd="0" presId="urn:microsoft.com/office/officeart/2005/8/layout/hierarchy2"/>
    <dgm:cxn modelId="{77706D23-6C72-8F40-B46D-6074C4382165}" type="presParOf" srcId="{CDF8C39A-E96E-2E43-843F-527D1F53EF88}" destId="{44A3F987-34EB-C949-ADB0-781293FDAA39}" srcOrd="0" destOrd="0" presId="urn:microsoft.com/office/officeart/2005/8/layout/hierarchy2"/>
    <dgm:cxn modelId="{6F518340-BBB9-2246-BEBF-5712B6B0B565}" type="presParOf" srcId="{87ED7063-BC74-1348-ADFC-D686274B6B2E}" destId="{8396F5D0-9F17-0641-95F7-B59A28CB05E6}" srcOrd="3" destOrd="0" presId="urn:microsoft.com/office/officeart/2005/8/layout/hierarchy2"/>
    <dgm:cxn modelId="{2525F6B8-129A-2540-934E-93A32DDC7BD3}" type="presParOf" srcId="{8396F5D0-9F17-0641-95F7-B59A28CB05E6}" destId="{27BA188A-1744-8A49-9791-0E4724882A5A}" srcOrd="0" destOrd="0" presId="urn:microsoft.com/office/officeart/2005/8/layout/hierarchy2"/>
    <dgm:cxn modelId="{FA194DAF-E18C-7243-9FA4-1AB184DF9AEE}" type="presParOf" srcId="{8396F5D0-9F17-0641-95F7-B59A28CB05E6}" destId="{D96BE902-B492-CD42-9E62-41C3C98B2025}" srcOrd="1" destOrd="0" presId="urn:microsoft.com/office/officeart/2005/8/layout/hierarchy2"/>
    <dgm:cxn modelId="{43275A51-169D-EB4C-8A29-92B9264CFD30}" type="presParOf" srcId="{CB563334-4979-A243-811D-FD16F0BEAAE2}" destId="{99AE0A9B-2BC0-D943-89AE-159BE1727606}" srcOrd="4" destOrd="0" presId="urn:microsoft.com/office/officeart/2005/8/layout/hierarchy2"/>
    <dgm:cxn modelId="{7210D098-3C38-6B4E-99FA-A4E4CBEF9289}" type="presParOf" srcId="{99AE0A9B-2BC0-D943-89AE-159BE1727606}" destId="{C2140B99-8967-2148-A4E1-C59700921140}" srcOrd="0" destOrd="0" presId="urn:microsoft.com/office/officeart/2005/8/layout/hierarchy2"/>
    <dgm:cxn modelId="{54AE8181-FF51-2048-8CB1-9BC4622177B9}" type="presParOf" srcId="{CB563334-4979-A243-811D-FD16F0BEAAE2}" destId="{40E12146-3682-104D-9825-517C5011B7B8}" srcOrd="5" destOrd="0" presId="urn:microsoft.com/office/officeart/2005/8/layout/hierarchy2"/>
    <dgm:cxn modelId="{83576DAF-9C8D-094A-8AFF-DB045AFDC40C}" type="presParOf" srcId="{40E12146-3682-104D-9825-517C5011B7B8}" destId="{7E8BCBC0-0FC7-9646-B31A-C8055A3A4E27}" srcOrd="0" destOrd="0" presId="urn:microsoft.com/office/officeart/2005/8/layout/hierarchy2"/>
    <dgm:cxn modelId="{3D4E1377-AB0B-864E-A0DB-BD348622246A}" type="presParOf" srcId="{40E12146-3682-104D-9825-517C5011B7B8}" destId="{8ED67B9D-6977-8B47-9144-233D018141A5}" srcOrd="1" destOrd="0" presId="urn:microsoft.com/office/officeart/2005/8/layout/hierarchy2"/>
    <dgm:cxn modelId="{D2360F3A-8F4E-7F47-9553-CD86ABC5A037}" type="presParOf" srcId="{8ED67B9D-6977-8B47-9144-233D018141A5}" destId="{312114B3-AB79-CC4C-8B79-513127A1FBA8}" srcOrd="0" destOrd="0" presId="urn:microsoft.com/office/officeart/2005/8/layout/hierarchy2"/>
    <dgm:cxn modelId="{7E059D7F-114A-ED49-B3DA-67CBC30FA53C}" type="presParOf" srcId="{312114B3-AB79-CC4C-8B79-513127A1FBA8}" destId="{51498259-5275-2A4D-8B95-0643E9DF0CD9}" srcOrd="0" destOrd="0" presId="urn:microsoft.com/office/officeart/2005/8/layout/hierarchy2"/>
    <dgm:cxn modelId="{E886E45C-28C2-6D49-B1BC-5B8B6BBB0787}" type="presParOf" srcId="{8ED67B9D-6977-8B47-9144-233D018141A5}" destId="{8F9BE783-8BAD-EA46-A9B6-F1B43A9D8A12}" srcOrd="1" destOrd="0" presId="urn:microsoft.com/office/officeart/2005/8/layout/hierarchy2"/>
    <dgm:cxn modelId="{DCFAEB5B-6CD6-CC4E-943B-A4567F94B5D3}" type="presParOf" srcId="{8F9BE783-8BAD-EA46-A9B6-F1B43A9D8A12}" destId="{C3CE692A-2ABC-C046-94B5-5F430399564F}" srcOrd="0" destOrd="0" presId="urn:microsoft.com/office/officeart/2005/8/layout/hierarchy2"/>
    <dgm:cxn modelId="{C3F65814-260D-0F4F-A0FC-ECAA8768C052}" type="presParOf" srcId="{8F9BE783-8BAD-EA46-A9B6-F1B43A9D8A12}" destId="{285B8C58-B085-7C47-9558-7EB1D48E263B}" srcOrd="1" destOrd="0" presId="urn:microsoft.com/office/officeart/2005/8/layout/hierarchy2"/>
    <dgm:cxn modelId="{1E8D1797-4BE2-E24F-9B2E-E8C0487E6040}" type="presParOf" srcId="{285B8C58-B085-7C47-9558-7EB1D48E263B}" destId="{B8B44804-A22F-DE4C-A6A0-8CBF7C4F841B}" srcOrd="0" destOrd="0" presId="urn:microsoft.com/office/officeart/2005/8/layout/hierarchy2"/>
    <dgm:cxn modelId="{3A15ED9A-2E36-3F4B-8219-C4BA607ECFE3}" type="presParOf" srcId="{B8B44804-A22F-DE4C-A6A0-8CBF7C4F841B}" destId="{0B5ADDE1-C731-414A-99AF-720FCD3F674A}" srcOrd="0" destOrd="0" presId="urn:microsoft.com/office/officeart/2005/8/layout/hierarchy2"/>
    <dgm:cxn modelId="{EF1B5623-FD18-9B4C-A172-8D717235CDA9}" type="presParOf" srcId="{285B8C58-B085-7C47-9558-7EB1D48E263B}" destId="{1948A99E-E845-634C-ADF5-49E35830D6EE}" srcOrd="1" destOrd="0" presId="urn:microsoft.com/office/officeart/2005/8/layout/hierarchy2"/>
    <dgm:cxn modelId="{DA2A0DBE-3333-5E42-B5F6-0CECDF7D37F3}" type="presParOf" srcId="{1948A99E-E845-634C-ADF5-49E35830D6EE}" destId="{04533643-2685-6B49-A2A4-C3CE8DEA48B8}" srcOrd="0" destOrd="0" presId="urn:microsoft.com/office/officeart/2005/8/layout/hierarchy2"/>
    <dgm:cxn modelId="{F6A0B35A-D582-4D4B-BDEF-77E8EA87C52C}" type="presParOf" srcId="{1948A99E-E845-634C-ADF5-49E35830D6EE}" destId="{D8BD49F8-23F3-144F-AED9-9450D8BC11FE}" srcOrd="1" destOrd="0" presId="urn:microsoft.com/office/officeart/2005/8/layout/hierarchy2"/>
    <dgm:cxn modelId="{1750CD43-2118-A146-9C04-62A7E2643D4B}" type="presParOf" srcId="{285B8C58-B085-7C47-9558-7EB1D48E263B}" destId="{E28262F7-0DDC-7848-AA4F-B185E1286581}" srcOrd="2" destOrd="0" presId="urn:microsoft.com/office/officeart/2005/8/layout/hierarchy2"/>
    <dgm:cxn modelId="{1A6D4CE0-D9C7-624D-99AB-24A3DD5A710C}" type="presParOf" srcId="{E28262F7-0DDC-7848-AA4F-B185E1286581}" destId="{86638F8F-1542-2C4C-9A22-EF297C67A967}" srcOrd="0" destOrd="0" presId="urn:microsoft.com/office/officeart/2005/8/layout/hierarchy2"/>
    <dgm:cxn modelId="{6E20737C-B05D-974E-844A-FFCC4A01BCBE}" type="presParOf" srcId="{285B8C58-B085-7C47-9558-7EB1D48E263B}" destId="{BFF9AA37-C804-3D4E-8A86-EFA8839725E8}" srcOrd="3" destOrd="0" presId="urn:microsoft.com/office/officeart/2005/8/layout/hierarchy2"/>
    <dgm:cxn modelId="{021ED1A4-7DB2-0640-9E11-8B1967F5A392}" type="presParOf" srcId="{BFF9AA37-C804-3D4E-8A86-EFA8839725E8}" destId="{C60FADCE-076B-5E4B-ADE4-1AB3CDB83C91}" srcOrd="0" destOrd="0" presId="urn:microsoft.com/office/officeart/2005/8/layout/hierarchy2"/>
    <dgm:cxn modelId="{4A85D6F9-46CC-A148-BCFC-30E78AD9C859}" type="presParOf" srcId="{BFF9AA37-C804-3D4E-8A86-EFA8839725E8}" destId="{0BD84E23-195B-B149-BA97-ABE4958AC076}" srcOrd="1" destOrd="0" presId="urn:microsoft.com/office/officeart/2005/8/layout/hierarchy2"/>
    <dgm:cxn modelId="{A3E430F1-0ACC-CC46-9F3C-D6588B857178}" type="presParOf" srcId="{8ED67B9D-6977-8B47-9144-233D018141A5}" destId="{698A0ED6-BC10-9E45-8010-A475622FDE14}" srcOrd="2" destOrd="0" presId="urn:microsoft.com/office/officeart/2005/8/layout/hierarchy2"/>
    <dgm:cxn modelId="{65E90631-DB80-354A-867A-30F3D160AFFF}" type="presParOf" srcId="{698A0ED6-BC10-9E45-8010-A475622FDE14}" destId="{54FD138E-2A4F-C644-9BF2-61D5741E78A7}" srcOrd="0" destOrd="0" presId="urn:microsoft.com/office/officeart/2005/8/layout/hierarchy2"/>
    <dgm:cxn modelId="{72E6D2E3-7E1A-EA4C-96B8-17A1AE966848}" type="presParOf" srcId="{8ED67B9D-6977-8B47-9144-233D018141A5}" destId="{538CD5B4-F91B-A646-AE81-7219DA94B8AF}" srcOrd="3" destOrd="0" presId="urn:microsoft.com/office/officeart/2005/8/layout/hierarchy2"/>
    <dgm:cxn modelId="{760FA196-D9AA-FE48-B95B-E8E9100A27B2}" type="presParOf" srcId="{538CD5B4-F91B-A646-AE81-7219DA94B8AF}" destId="{EFAA6B61-4853-6444-B6F0-46E159CBD8E5}" srcOrd="0" destOrd="0" presId="urn:microsoft.com/office/officeart/2005/8/layout/hierarchy2"/>
    <dgm:cxn modelId="{6F70509E-D607-1945-9B0F-611E75383D00}" type="presParOf" srcId="{538CD5B4-F91B-A646-AE81-7219DA94B8AF}" destId="{494BE68F-F210-9147-9435-E3139CD999CA}" srcOrd="1" destOrd="0" presId="urn:microsoft.com/office/officeart/2005/8/layout/hierarchy2"/>
    <dgm:cxn modelId="{BB0C6690-764F-544F-A089-740193C7F74C}" type="presParOf" srcId="{494BE68F-F210-9147-9435-E3139CD999CA}" destId="{B28CBD54-3F19-A247-ADE1-279CC82795A1}" srcOrd="0" destOrd="0" presId="urn:microsoft.com/office/officeart/2005/8/layout/hierarchy2"/>
    <dgm:cxn modelId="{58C85FFD-500A-7946-A7C1-96C0D7001CE6}" type="presParOf" srcId="{B28CBD54-3F19-A247-ADE1-279CC82795A1}" destId="{8E68D8BA-4E71-B94B-9341-C6FDB60E8792}" srcOrd="0" destOrd="0" presId="urn:microsoft.com/office/officeart/2005/8/layout/hierarchy2"/>
    <dgm:cxn modelId="{A7EE6EF5-8954-654D-9E41-9B69800F46A1}" type="presParOf" srcId="{494BE68F-F210-9147-9435-E3139CD999CA}" destId="{014155B1-C829-0A4D-B432-AB29116044F9}" srcOrd="1" destOrd="0" presId="urn:microsoft.com/office/officeart/2005/8/layout/hierarchy2"/>
    <dgm:cxn modelId="{6D88393F-1B65-D34E-BEB2-8024C345F4AD}" type="presParOf" srcId="{014155B1-C829-0A4D-B432-AB29116044F9}" destId="{3F6356FD-F8CC-5B40-B0D8-8061EA14E36C}" srcOrd="0" destOrd="0" presId="urn:microsoft.com/office/officeart/2005/8/layout/hierarchy2"/>
    <dgm:cxn modelId="{D008418B-BBEC-8940-92B2-C3F7653E0C55}" type="presParOf" srcId="{014155B1-C829-0A4D-B432-AB29116044F9}" destId="{FBE9532A-CAC3-3341-9D25-6DBAFA04C404}" srcOrd="1" destOrd="0" presId="urn:microsoft.com/office/officeart/2005/8/layout/hierarchy2"/>
    <dgm:cxn modelId="{33E7BD0D-203A-6F4E-B22D-FFF567446D02}" type="presParOf" srcId="{494BE68F-F210-9147-9435-E3139CD999CA}" destId="{3E055DFC-C0EB-F24E-AC40-47F1A23D8BD3}" srcOrd="2" destOrd="0" presId="urn:microsoft.com/office/officeart/2005/8/layout/hierarchy2"/>
    <dgm:cxn modelId="{0E251DF1-C5C8-7145-88B4-D84296E60833}" type="presParOf" srcId="{3E055DFC-C0EB-F24E-AC40-47F1A23D8BD3}" destId="{2D406115-A204-5440-87B2-9CF1A2DD4538}" srcOrd="0" destOrd="0" presId="urn:microsoft.com/office/officeart/2005/8/layout/hierarchy2"/>
    <dgm:cxn modelId="{CE8D831F-C193-C94B-AC08-395B17C517FE}" type="presParOf" srcId="{494BE68F-F210-9147-9435-E3139CD999CA}" destId="{D87BDEC4-A15E-9C4F-8F40-2A519AA747AD}" srcOrd="3" destOrd="0" presId="urn:microsoft.com/office/officeart/2005/8/layout/hierarchy2"/>
    <dgm:cxn modelId="{298AA4A2-63D1-7446-B931-61B0D9B3D66C}" type="presParOf" srcId="{D87BDEC4-A15E-9C4F-8F40-2A519AA747AD}" destId="{C40EAB54-B029-BD4E-9C1C-0F6A20E6EADF}" srcOrd="0" destOrd="0" presId="urn:microsoft.com/office/officeart/2005/8/layout/hierarchy2"/>
    <dgm:cxn modelId="{B087BDAB-13B0-FA40-9C22-49B11DD850D5}" type="presParOf" srcId="{D87BDEC4-A15E-9C4F-8F40-2A519AA747AD}" destId="{DCED86E4-7C1B-1E44-A53A-F95AA54AA454}"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891813-FB21-914A-A27E-E9A661A61BCF}">
      <dsp:nvSpPr>
        <dsp:cNvPr id="0" name=""/>
        <dsp:cNvSpPr/>
      </dsp:nvSpPr>
      <dsp:spPr>
        <a:xfrm>
          <a:off x="508796" y="1575448"/>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Private laadinfrastructuur</a:t>
          </a:r>
        </a:p>
      </dsp:txBody>
      <dsp:txXfrm>
        <a:off x="521140" y="1587792"/>
        <a:ext cx="818212" cy="396762"/>
      </dsp:txXfrm>
    </dsp:sp>
    <dsp:sp modelId="{2C3ACBC1-D266-7642-B106-11BF4B658192}">
      <dsp:nvSpPr>
        <dsp:cNvPr id="0" name=""/>
        <dsp:cNvSpPr/>
      </dsp:nvSpPr>
      <dsp:spPr>
        <a:xfrm rot="17051759">
          <a:off x="832867" y="1110406"/>
          <a:ext cx="1374819" cy="18698"/>
        </a:xfrm>
        <a:custGeom>
          <a:avLst/>
          <a:gdLst/>
          <a:ahLst/>
          <a:cxnLst/>
          <a:rect l="0" t="0" r="0" b="0"/>
          <a:pathLst>
            <a:path>
              <a:moveTo>
                <a:pt x="0" y="9349"/>
              </a:moveTo>
              <a:lnTo>
                <a:pt x="1250619" y="9349"/>
              </a:lnTo>
            </a:path>
          </a:pathLst>
        </a:custGeom>
        <a:noFill/>
        <a:ln w="25400" cap="flat" cmpd="sng" algn="ctr">
          <a:solidFill>
            <a:srgbClr val="3B547B">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1478527" y="1144647"/>
        <a:ext cx="0" cy="0"/>
      </dsp:txXfrm>
    </dsp:sp>
    <dsp:sp modelId="{87EEDA21-6D20-F247-99E3-9B2B5BE537E9}">
      <dsp:nvSpPr>
        <dsp:cNvPr id="0" name=""/>
        <dsp:cNvSpPr/>
      </dsp:nvSpPr>
      <dsp:spPr>
        <a:xfrm>
          <a:off x="1688857" y="242612"/>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Wonen</a:t>
          </a:r>
        </a:p>
      </dsp:txBody>
      <dsp:txXfrm>
        <a:off x="1701201" y="254956"/>
        <a:ext cx="818212" cy="396762"/>
      </dsp:txXfrm>
    </dsp:sp>
    <dsp:sp modelId="{BDE4B12F-46EC-B24D-9023-317689B727A9}">
      <dsp:nvSpPr>
        <dsp:cNvPr id="0" name=""/>
        <dsp:cNvSpPr/>
      </dsp:nvSpPr>
      <dsp:spPr>
        <a:xfrm rot="19457599">
          <a:off x="2492730" y="322821"/>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2685850" y="329799"/>
        <a:ext cx="0" cy="0"/>
      </dsp:txXfrm>
    </dsp:sp>
    <dsp:sp modelId="{904523E3-F7FC-2449-9AE7-1167041C705A}">
      <dsp:nvSpPr>
        <dsp:cNvPr id="0" name=""/>
        <dsp:cNvSpPr/>
      </dsp:nvSpPr>
      <dsp:spPr>
        <a:xfrm>
          <a:off x="2868917" y="278"/>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Op de eigen oprit</a:t>
          </a:r>
        </a:p>
      </dsp:txBody>
      <dsp:txXfrm>
        <a:off x="2881261" y="12622"/>
        <a:ext cx="818212" cy="396762"/>
      </dsp:txXfrm>
    </dsp:sp>
    <dsp:sp modelId="{23DE348A-E355-C143-827E-D508415F1929}">
      <dsp:nvSpPr>
        <dsp:cNvPr id="0" name=""/>
        <dsp:cNvSpPr/>
      </dsp:nvSpPr>
      <dsp:spPr>
        <a:xfrm rot="2142401">
          <a:off x="2492730" y="565155"/>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2697966" y="560017"/>
        <a:ext cx="0" cy="0"/>
      </dsp:txXfrm>
    </dsp:sp>
    <dsp:sp modelId="{F7DBC643-10F0-AE4C-8034-8F106B56C7A8}">
      <dsp:nvSpPr>
        <dsp:cNvPr id="0" name=""/>
        <dsp:cNvSpPr/>
      </dsp:nvSpPr>
      <dsp:spPr>
        <a:xfrm>
          <a:off x="2868917" y="484946"/>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Appartementen-complexen</a:t>
          </a:r>
        </a:p>
      </dsp:txBody>
      <dsp:txXfrm>
        <a:off x="2881261" y="497290"/>
        <a:ext cx="818212" cy="396762"/>
      </dsp:txXfrm>
    </dsp:sp>
    <dsp:sp modelId="{5A69EA9B-2087-0443-80C3-3A6DF4B2616B}">
      <dsp:nvSpPr>
        <dsp:cNvPr id="0" name=""/>
        <dsp:cNvSpPr/>
      </dsp:nvSpPr>
      <dsp:spPr>
        <a:xfrm rot="20413970">
          <a:off x="1341141" y="1716240"/>
          <a:ext cx="358271" cy="18698"/>
        </a:xfrm>
        <a:custGeom>
          <a:avLst/>
          <a:gdLst/>
          <a:ahLst/>
          <a:cxnLst/>
          <a:rect l="0" t="0" r="0" b="0"/>
          <a:pathLst>
            <a:path>
              <a:moveTo>
                <a:pt x="0" y="9349"/>
              </a:moveTo>
              <a:lnTo>
                <a:pt x="325905" y="9349"/>
              </a:lnTo>
            </a:path>
          </a:pathLst>
        </a:custGeom>
        <a:noFill/>
        <a:ln w="25400" cap="flat" cmpd="sng" algn="ctr">
          <a:solidFill>
            <a:srgbClr val="3B547B">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1508819" y="1720190"/>
        <a:ext cx="0" cy="0"/>
      </dsp:txXfrm>
    </dsp:sp>
    <dsp:sp modelId="{F426C306-A4D9-1E4F-810D-3A114A7F247D}">
      <dsp:nvSpPr>
        <dsp:cNvPr id="0" name=""/>
        <dsp:cNvSpPr/>
      </dsp:nvSpPr>
      <dsp:spPr>
        <a:xfrm>
          <a:off x="1688857" y="1454281"/>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Werken</a:t>
          </a:r>
        </a:p>
      </dsp:txBody>
      <dsp:txXfrm>
        <a:off x="1701201" y="1466625"/>
        <a:ext cx="818212" cy="396762"/>
      </dsp:txXfrm>
    </dsp:sp>
    <dsp:sp modelId="{D890F1CE-AF69-3948-85B4-B9896C8D94E2}">
      <dsp:nvSpPr>
        <dsp:cNvPr id="0" name=""/>
        <dsp:cNvSpPr/>
      </dsp:nvSpPr>
      <dsp:spPr>
        <a:xfrm rot="19457599">
          <a:off x="2492730" y="1534490"/>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2685850" y="1541468"/>
        <a:ext cx="0" cy="0"/>
      </dsp:txXfrm>
    </dsp:sp>
    <dsp:sp modelId="{CB980604-D38A-E243-9090-C1C7F1C73596}">
      <dsp:nvSpPr>
        <dsp:cNvPr id="0" name=""/>
        <dsp:cNvSpPr/>
      </dsp:nvSpPr>
      <dsp:spPr>
        <a:xfrm>
          <a:off x="2868917" y="1211947"/>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Bedrijven (forenzen)</a:t>
          </a:r>
        </a:p>
      </dsp:txBody>
      <dsp:txXfrm>
        <a:off x="2881261" y="1224291"/>
        <a:ext cx="818212" cy="396762"/>
      </dsp:txXfrm>
    </dsp:sp>
    <dsp:sp modelId="{3F9D2A56-D1B4-0941-A4B6-EAA767567F61}">
      <dsp:nvSpPr>
        <dsp:cNvPr id="0" name=""/>
        <dsp:cNvSpPr/>
      </dsp:nvSpPr>
      <dsp:spPr>
        <a:xfrm rot="19457599">
          <a:off x="3672790" y="1292156"/>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3865910" y="1299134"/>
        <a:ext cx="0" cy="0"/>
      </dsp:txXfrm>
    </dsp:sp>
    <dsp:sp modelId="{C75BB9B0-B2B5-E648-8CE8-94360FD98457}">
      <dsp:nvSpPr>
        <dsp:cNvPr id="0" name=""/>
        <dsp:cNvSpPr/>
      </dsp:nvSpPr>
      <dsp:spPr>
        <a:xfrm>
          <a:off x="4048978" y="969613"/>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Eigen terrein</a:t>
          </a:r>
        </a:p>
      </dsp:txBody>
      <dsp:txXfrm>
        <a:off x="4061322" y="981957"/>
        <a:ext cx="818212" cy="396762"/>
      </dsp:txXfrm>
    </dsp:sp>
    <dsp:sp modelId="{736FF374-A22A-E347-B4BC-B2485C163A0C}">
      <dsp:nvSpPr>
        <dsp:cNvPr id="0" name=""/>
        <dsp:cNvSpPr/>
      </dsp:nvSpPr>
      <dsp:spPr>
        <a:xfrm rot="2142401">
          <a:off x="3672790" y="1534490"/>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3878026" y="1529352"/>
        <a:ext cx="0" cy="0"/>
      </dsp:txXfrm>
    </dsp:sp>
    <dsp:sp modelId="{5BA00BB0-2916-7845-BED2-33E7979C8A51}">
      <dsp:nvSpPr>
        <dsp:cNvPr id="0" name=""/>
        <dsp:cNvSpPr/>
      </dsp:nvSpPr>
      <dsp:spPr>
        <a:xfrm>
          <a:off x="4048978" y="1454281"/>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Gedeeld terrein</a:t>
          </a:r>
        </a:p>
      </dsp:txBody>
      <dsp:txXfrm>
        <a:off x="4061322" y="1466625"/>
        <a:ext cx="818212" cy="396762"/>
      </dsp:txXfrm>
    </dsp:sp>
    <dsp:sp modelId="{CDF8C39A-E96E-2E43-843F-527D1F53EF88}">
      <dsp:nvSpPr>
        <dsp:cNvPr id="0" name=""/>
        <dsp:cNvSpPr/>
      </dsp:nvSpPr>
      <dsp:spPr>
        <a:xfrm rot="2142401">
          <a:off x="2492730" y="1776824"/>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2697966" y="1771686"/>
        <a:ext cx="0" cy="0"/>
      </dsp:txXfrm>
    </dsp:sp>
    <dsp:sp modelId="{27BA188A-1744-8A49-9791-0E4724882A5A}">
      <dsp:nvSpPr>
        <dsp:cNvPr id="0" name=""/>
        <dsp:cNvSpPr/>
      </dsp:nvSpPr>
      <dsp:spPr>
        <a:xfrm>
          <a:off x="2868917" y="1696615"/>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Professionele vloot </a:t>
          </a:r>
        </a:p>
      </dsp:txBody>
      <dsp:txXfrm>
        <a:off x="2881261" y="1708959"/>
        <a:ext cx="818212" cy="396762"/>
      </dsp:txXfrm>
    </dsp:sp>
    <dsp:sp modelId="{99AE0A9B-2BC0-D943-89AE-159BE1727606}">
      <dsp:nvSpPr>
        <dsp:cNvPr id="0" name=""/>
        <dsp:cNvSpPr/>
      </dsp:nvSpPr>
      <dsp:spPr>
        <a:xfrm rot="4548241">
          <a:off x="832867" y="2443242"/>
          <a:ext cx="1374819" cy="18698"/>
        </a:xfrm>
        <a:custGeom>
          <a:avLst/>
          <a:gdLst/>
          <a:ahLst/>
          <a:cxnLst/>
          <a:rect l="0" t="0" r="0" b="0"/>
          <a:pathLst>
            <a:path>
              <a:moveTo>
                <a:pt x="0" y="9349"/>
              </a:moveTo>
              <a:lnTo>
                <a:pt x="1250619" y="9349"/>
              </a:lnTo>
            </a:path>
          </a:pathLst>
        </a:custGeom>
        <a:noFill/>
        <a:ln w="25400" cap="flat" cmpd="sng" algn="ctr">
          <a:solidFill>
            <a:srgbClr val="3B547B">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1545168" y="2410842"/>
        <a:ext cx="0" cy="0"/>
      </dsp:txXfrm>
    </dsp:sp>
    <dsp:sp modelId="{7E8BCBC0-0FC7-9646-B31A-C8055A3A4E27}">
      <dsp:nvSpPr>
        <dsp:cNvPr id="0" name=""/>
        <dsp:cNvSpPr/>
      </dsp:nvSpPr>
      <dsp:spPr>
        <a:xfrm>
          <a:off x="1688857" y="2908284"/>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Bezoeken (semi-publiek)</a:t>
          </a:r>
        </a:p>
      </dsp:txBody>
      <dsp:txXfrm>
        <a:off x="1701201" y="2920628"/>
        <a:ext cx="818212" cy="396762"/>
      </dsp:txXfrm>
    </dsp:sp>
    <dsp:sp modelId="{312114B3-AB79-CC4C-8B79-513127A1FBA8}">
      <dsp:nvSpPr>
        <dsp:cNvPr id="0" name=""/>
        <dsp:cNvSpPr/>
      </dsp:nvSpPr>
      <dsp:spPr>
        <a:xfrm rot="18289469">
          <a:off x="2405134" y="2867326"/>
          <a:ext cx="590406" cy="18698"/>
        </a:xfrm>
        <a:custGeom>
          <a:avLst/>
          <a:gdLst/>
          <a:ahLst/>
          <a:cxnLst/>
          <a:rect l="0" t="0" r="0" b="0"/>
          <a:pathLst>
            <a:path>
              <a:moveTo>
                <a:pt x="0" y="9349"/>
              </a:moveTo>
              <a:lnTo>
                <a:pt x="537069"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2679792" y="2880363"/>
        <a:ext cx="0" cy="0"/>
      </dsp:txXfrm>
    </dsp:sp>
    <dsp:sp modelId="{C3CE692A-2ABC-C046-94B5-5F430399564F}">
      <dsp:nvSpPr>
        <dsp:cNvPr id="0" name=""/>
        <dsp:cNvSpPr/>
      </dsp:nvSpPr>
      <dsp:spPr>
        <a:xfrm>
          <a:off x="2868917" y="2423617"/>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Privaat</a:t>
          </a:r>
        </a:p>
      </dsp:txBody>
      <dsp:txXfrm>
        <a:off x="2881261" y="2435961"/>
        <a:ext cx="818212" cy="396762"/>
      </dsp:txXfrm>
    </dsp:sp>
    <dsp:sp modelId="{B8B44804-A22F-DE4C-A6A0-8CBF7C4F841B}">
      <dsp:nvSpPr>
        <dsp:cNvPr id="0" name=""/>
        <dsp:cNvSpPr/>
      </dsp:nvSpPr>
      <dsp:spPr>
        <a:xfrm rot="19457599">
          <a:off x="3672790" y="2503825"/>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3865910" y="2510803"/>
        <a:ext cx="0" cy="0"/>
      </dsp:txXfrm>
    </dsp:sp>
    <dsp:sp modelId="{04533643-2685-6B49-A2A4-C3CE8DEA48B8}">
      <dsp:nvSpPr>
        <dsp:cNvPr id="0" name=""/>
        <dsp:cNvSpPr/>
      </dsp:nvSpPr>
      <dsp:spPr>
        <a:xfrm>
          <a:off x="4048978" y="2181283"/>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Bedrijven - bezoekerslocaties</a:t>
          </a:r>
        </a:p>
      </dsp:txBody>
      <dsp:txXfrm>
        <a:off x="4061322" y="2193627"/>
        <a:ext cx="818212" cy="396762"/>
      </dsp:txXfrm>
    </dsp:sp>
    <dsp:sp modelId="{E28262F7-0DDC-7848-AA4F-B185E1286581}">
      <dsp:nvSpPr>
        <dsp:cNvPr id="0" name=""/>
        <dsp:cNvSpPr/>
      </dsp:nvSpPr>
      <dsp:spPr>
        <a:xfrm rot="2142401">
          <a:off x="3672790" y="2746159"/>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3878026" y="2741021"/>
        <a:ext cx="0" cy="0"/>
      </dsp:txXfrm>
    </dsp:sp>
    <dsp:sp modelId="{C60FADCE-076B-5E4B-ADE4-1AB3CDB83C91}">
      <dsp:nvSpPr>
        <dsp:cNvPr id="0" name=""/>
        <dsp:cNvSpPr/>
      </dsp:nvSpPr>
      <dsp:spPr>
        <a:xfrm>
          <a:off x="4048978" y="2665950"/>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Parkeerterrein/ -garages</a:t>
          </a:r>
        </a:p>
      </dsp:txBody>
      <dsp:txXfrm>
        <a:off x="4061322" y="2678294"/>
        <a:ext cx="818212" cy="396762"/>
      </dsp:txXfrm>
    </dsp:sp>
    <dsp:sp modelId="{698A0ED6-BC10-9E45-8010-A475622FDE14}">
      <dsp:nvSpPr>
        <dsp:cNvPr id="0" name=""/>
        <dsp:cNvSpPr/>
      </dsp:nvSpPr>
      <dsp:spPr>
        <a:xfrm rot="3310531">
          <a:off x="2405134" y="3351994"/>
          <a:ext cx="590406" cy="18698"/>
        </a:xfrm>
        <a:custGeom>
          <a:avLst/>
          <a:gdLst/>
          <a:ahLst/>
          <a:cxnLst/>
          <a:rect l="0" t="0" r="0" b="0"/>
          <a:pathLst>
            <a:path>
              <a:moveTo>
                <a:pt x="0" y="9349"/>
              </a:moveTo>
              <a:lnTo>
                <a:pt x="537069"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2704025" y="3340798"/>
        <a:ext cx="0" cy="0"/>
      </dsp:txXfrm>
    </dsp:sp>
    <dsp:sp modelId="{EFAA6B61-4853-6444-B6F0-46E159CBD8E5}">
      <dsp:nvSpPr>
        <dsp:cNvPr id="0" name=""/>
        <dsp:cNvSpPr/>
      </dsp:nvSpPr>
      <dsp:spPr>
        <a:xfrm>
          <a:off x="2868917" y="3392952"/>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Publiek</a:t>
          </a:r>
        </a:p>
      </dsp:txBody>
      <dsp:txXfrm>
        <a:off x="2881261" y="3405296"/>
        <a:ext cx="818212" cy="396762"/>
      </dsp:txXfrm>
    </dsp:sp>
    <dsp:sp modelId="{B28CBD54-3F19-A247-ADE1-279CC82795A1}">
      <dsp:nvSpPr>
        <dsp:cNvPr id="0" name=""/>
        <dsp:cNvSpPr/>
      </dsp:nvSpPr>
      <dsp:spPr>
        <a:xfrm rot="19457599">
          <a:off x="3672790" y="3473161"/>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3865910" y="3480139"/>
        <a:ext cx="0" cy="0"/>
      </dsp:txXfrm>
    </dsp:sp>
    <dsp:sp modelId="{3F6356FD-F8CC-5B40-B0D8-8061EA14E36C}">
      <dsp:nvSpPr>
        <dsp:cNvPr id="0" name=""/>
        <dsp:cNvSpPr/>
      </dsp:nvSpPr>
      <dsp:spPr>
        <a:xfrm>
          <a:off x="4048978" y="3150618"/>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Publieke bezoekerslocaties</a:t>
          </a:r>
        </a:p>
      </dsp:txBody>
      <dsp:txXfrm>
        <a:off x="4061322" y="3162962"/>
        <a:ext cx="818212" cy="396762"/>
      </dsp:txXfrm>
    </dsp:sp>
    <dsp:sp modelId="{3E055DFC-C0EB-F24E-AC40-47F1A23D8BD3}">
      <dsp:nvSpPr>
        <dsp:cNvPr id="0" name=""/>
        <dsp:cNvSpPr/>
      </dsp:nvSpPr>
      <dsp:spPr>
        <a:xfrm rot="2142401">
          <a:off x="3672790" y="3715495"/>
          <a:ext cx="415213" cy="18698"/>
        </a:xfrm>
        <a:custGeom>
          <a:avLst/>
          <a:gdLst/>
          <a:ahLst/>
          <a:cxnLst/>
          <a:rect l="0" t="0" r="0" b="0"/>
          <a:pathLst>
            <a:path>
              <a:moveTo>
                <a:pt x="0" y="9349"/>
              </a:moveTo>
              <a:lnTo>
                <a:pt x="377703" y="9349"/>
              </a:lnTo>
            </a:path>
          </a:pathLst>
        </a:custGeom>
        <a:noFill/>
        <a:ln w="25400" cap="flat" cmpd="sng" algn="ctr">
          <a:solidFill>
            <a:srgbClr val="3B547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hueOff val="0"/>
                <a:satOff val="0"/>
                <a:lumOff val="0"/>
                <a:alphaOff val="0"/>
              </a:srgbClr>
            </a:solidFill>
            <a:latin typeface="Corbel"/>
            <a:ea typeface="+mn-ea"/>
            <a:cs typeface="+mn-cs"/>
          </a:endParaRPr>
        </a:p>
      </dsp:txBody>
      <dsp:txXfrm>
        <a:off x="3878026" y="3710357"/>
        <a:ext cx="0" cy="0"/>
      </dsp:txXfrm>
    </dsp:sp>
    <dsp:sp modelId="{C40EAB54-B029-BD4E-9C1C-0F6A20E6EADF}">
      <dsp:nvSpPr>
        <dsp:cNvPr id="0" name=""/>
        <dsp:cNvSpPr/>
      </dsp:nvSpPr>
      <dsp:spPr>
        <a:xfrm>
          <a:off x="4048978" y="3635286"/>
          <a:ext cx="842900" cy="421450"/>
        </a:xfrm>
        <a:prstGeom prst="roundRect">
          <a:avLst>
            <a:gd name="adj" fmla="val 10000"/>
          </a:avLst>
        </a:prstGeom>
        <a:solidFill>
          <a:srgbClr val="3B547B">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orbel"/>
              <a:ea typeface="+mn-ea"/>
              <a:cs typeface="+mn-cs"/>
            </a:rPr>
            <a:t>Parkeertereinen / - garages</a:t>
          </a:r>
        </a:p>
      </dsp:txBody>
      <dsp:txXfrm>
        <a:off x="4061322" y="3647630"/>
        <a:ext cx="818212" cy="3967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306F7929A5343A3918C693BA02262" ma:contentTypeVersion="9" ma:contentTypeDescription="Een nieuw document maken." ma:contentTypeScope="" ma:versionID="91b735b5f3643db776873de6ba682595">
  <xsd:schema xmlns:xsd="http://www.w3.org/2001/XMLSchema" xmlns:xs="http://www.w3.org/2001/XMLSchema" xmlns:p="http://schemas.microsoft.com/office/2006/metadata/properties" xmlns:ns2="49cc8de0-519a-4c0b-ad47-eb3bfe226e7e" xmlns:ns3="61685b1f-4625-48a2-9c6e-5ff12b856be5" targetNamespace="http://schemas.microsoft.com/office/2006/metadata/properties" ma:root="true" ma:fieldsID="eb8fdb4ce11f5ba8e9ed81a1abeffbac" ns2:_="" ns3:_="">
    <xsd:import namespace="49cc8de0-519a-4c0b-ad47-eb3bfe226e7e"/>
    <xsd:import namespace="61685b1f-4625-48a2-9c6e-5ff12b85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c8de0-519a-4c0b-ad47-eb3bfe226e7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685b1f-4625-48a2-9c6e-5ff12b85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E71B6-FBBE-4B34-B863-432A158EE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c8de0-519a-4c0b-ad47-eb3bfe226e7e"/>
    <ds:schemaRef ds:uri="61685b1f-4625-48a2-9c6e-5ff12b85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0DDDAA-07B6-4FD8-96BF-15D75751C3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B15669-D0B3-4B44-A0CF-102FF84EBDB3}">
  <ds:schemaRefs>
    <ds:schemaRef ds:uri="http://schemas.microsoft.com/sharepoint/v3/contenttype/forms"/>
  </ds:schemaRefs>
</ds:datastoreItem>
</file>

<file path=customXml/itemProps4.xml><?xml version="1.0" encoding="utf-8"?>
<ds:datastoreItem xmlns:ds="http://schemas.openxmlformats.org/officeDocument/2006/customXml" ds:itemID="{1FB2ACF9-D0ED-FB41-8094-219A98373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12895</Words>
  <Characters>70925</Characters>
  <Application>Microsoft Office Word</Application>
  <DocSecurity>0</DocSecurity>
  <Lines>591</Lines>
  <Paragraphs>167</Paragraphs>
  <ScaleCrop>false</ScaleCrop>
  <HeadingPairs>
    <vt:vector size="2" baseType="variant">
      <vt:variant>
        <vt:lpstr>Titel</vt:lpstr>
      </vt:variant>
      <vt:variant>
        <vt:i4>1</vt:i4>
      </vt:variant>
    </vt:vector>
  </HeadingPairs>
  <TitlesOfParts>
    <vt:vector size="1" baseType="lpstr">
      <vt:lpstr/>
    </vt:vector>
  </TitlesOfParts>
  <Company>Gemeente Amsterdam</Company>
  <LinksUpToDate>false</LinksUpToDate>
  <CharactersWithSpaces>83653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Looijestijn</dc:creator>
  <cp:lastModifiedBy>Corinne Poort</cp:lastModifiedBy>
  <cp:revision>2</cp:revision>
  <cp:lastPrinted>2021-05-20T15:19:00Z</cp:lastPrinted>
  <dcterms:created xsi:type="dcterms:W3CDTF">2021-05-25T10:23:00Z</dcterms:created>
  <dcterms:modified xsi:type="dcterms:W3CDTF">2021-05-25T10:23:00Z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0x0101008FE306F7929A5343A3918C693BA02262</vt:lpwstr>
  </property>
</Properties>
</file>